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44826" w14:textId="77777777" w:rsidR="00BF4FD2" w:rsidRPr="00847A94" w:rsidRDefault="00BF4FD2" w:rsidP="00BF4FD2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 w:rsidRPr="00847A94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Programul de studii: </w:t>
      </w:r>
      <w:r w:rsidRPr="00847A94">
        <w:rPr>
          <w:rFonts w:ascii="Times New Roman" w:hAnsi="Times New Roman" w:cs="Times New Roman"/>
          <w:sz w:val="20"/>
          <w:szCs w:val="20"/>
          <w:lang w:val="ro-RO"/>
        </w:rPr>
        <w:t>Drept</w:t>
      </w:r>
      <w:r w:rsidRPr="00847A94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</w:t>
      </w:r>
      <w:r w:rsidRPr="00847A94">
        <w:rPr>
          <w:rFonts w:ascii="Times New Roman" w:hAnsi="Times New Roman" w:cs="Times New Roman"/>
          <w:b/>
          <w:bCs/>
          <w:i/>
          <w:iCs/>
          <w:color w:val="2F5496"/>
          <w:sz w:val="20"/>
          <w:szCs w:val="20"/>
          <w:lang w:val="ro-RO"/>
        </w:rPr>
        <w:t>Anexa A.ID.2</w:t>
      </w:r>
    </w:p>
    <w:p w14:paraId="34B0B9B7" w14:textId="77777777" w:rsidR="00BF4FD2" w:rsidRPr="00847A94" w:rsidRDefault="00BF4FD2" w:rsidP="00BF4FD2">
      <w:pPr>
        <w:pStyle w:val="Default"/>
        <w:tabs>
          <w:tab w:val="right" w:pos="14346"/>
        </w:tabs>
        <w:rPr>
          <w:rFonts w:ascii="Times New Roman" w:hAnsi="Times New Roman" w:cs="Times New Roman"/>
          <w:b/>
          <w:color w:val="auto"/>
          <w:sz w:val="20"/>
          <w:szCs w:val="20"/>
          <w:lang w:val="ro-RO"/>
        </w:rPr>
      </w:pPr>
      <w:r w:rsidRPr="00847A94">
        <w:rPr>
          <w:rFonts w:ascii="Times New Roman" w:hAnsi="Times New Roman" w:cs="Times New Roman"/>
          <w:b/>
          <w:color w:val="auto"/>
          <w:sz w:val="20"/>
          <w:szCs w:val="20"/>
          <w:lang w:val="ro-RO"/>
        </w:rPr>
        <w:t>Disciplina: Dreptul transporturilor</w:t>
      </w:r>
      <w:r w:rsidRPr="00847A94">
        <w:rPr>
          <w:rFonts w:ascii="Times New Roman" w:hAnsi="Times New Roman" w:cs="Times New Roman"/>
          <w:b/>
          <w:color w:val="auto"/>
          <w:sz w:val="20"/>
          <w:szCs w:val="20"/>
          <w:lang w:val="ro-RO"/>
        </w:rPr>
        <w:tab/>
      </w:r>
    </w:p>
    <w:p w14:paraId="7AD16822" w14:textId="77777777" w:rsidR="00BF4FD2" w:rsidRPr="00847A94" w:rsidRDefault="00BF4FD2" w:rsidP="00BF4FD2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 w:rsidRPr="00847A94">
        <w:rPr>
          <w:rFonts w:ascii="Times New Roman" w:hAnsi="Times New Roman" w:cs="Times New Roman"/>
          <w:color w:val="auto"/>
          <w:sz w:val="20"/>
          <w:szCs w:val="20"/>
          <w:lang w:val="ro-RO"/>
        </w:rPr>
        <w:t>Anul de studii: IV</w:t>
      </w:r>
    </w:p>
    <w:p w14:paraId="4E94EB91" w14:textId="77777777" w:rsidR="00BF4FD2" w:rsidRPr="00847A94" w:rsidRDefault="00BF4FD2" w:rsidP="00BF4FD2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 w:rsidRPr="00847A94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Grupa: </w:t>
      </w:r>
    </w:p>
    <w:p w14:paraId="421E0666" w14:textId="77777777" w:rsidR="00BF4FD2" w:rsidRPr="00847A94" w:rsidRDefault="00BF4FD2" w:rsidP="00BF4FD2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 w:rsidRPr="00847A94">
        <w:rPr>
          <w:rFonts w:ascii="Times New Roman" w:hAnsi="Times New Roman" w:cs="Times New Roman"/>
          <w:color w:val="auto"/>
          <w:sz w:val="20"/>
          <w:szCs w:val="20"/>
          <w:lang w:val="ro-RO"/>
        </w:rPr>
        <w:t>Semestrul: I</w:t>
      </w:r>
    </w:p>
    <w:p w14:paraId="14E8400A" w14:textId="77777777" w:rsidR="00BF4FD2" w:rsidRPr="00847A94" w:rsidRDefault="00BF4FD2" w:rsidP="00BF4FD2">
      <w:pPr>
        <w:pStyle w:val="Default"/>
        <w:jc w:val="center"/>
        <w:rPr>
          <w:rFonts w:ascii="Times New Roman" w:hAnsi="Times New Roman" w:cs="Times New Roman"/>
          <w:color w:val="000066"/>
          <w:sz w:val="20"/>
          <w:szCs w:val="20"/>
          <w:lang w:val="ro-RO"/>
        </w:rPr>
      </w:pPr>
      <w:r w:rsidRPr="00847A94">
        <w:rPr>
          <w:rFonts w:ascii="Times New Roman" w:hAnsi="Times New Roman" w:cs="Times New Roman"/>
          <w:b/>
          <w:bCs/>
          <w:color w:val="000066"/>
          <w:sz w:val="20"/>
          <w:szCs w:val="20"/>
          <w:lang w:val="ro-RO"/>
        </w:rPr>
        <w:t>CALENDARUL DISCIPLINEI</w:t>
      </w:r>
    </w:p>
    <w:p w14:paraId="2CED6FF7" w14:textId="77777777" w:rsidR="00BF4FD2" w:rsidRPr="00847A94" w:rsidRDefault="00BF4FD2" w:rsidP="00BF4FD2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 w:rsidRPr="00847A94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</w:t>
      </w:r>
    </w:p>
    <w:tbl>
      <w:tblPr>
        <w:tblW w:w="1487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40"/>
        <w:gridCol w:w="3411"/>
        <w:gridCol w:w="851"/>
        <w:gridCol w:w="3118"/>
        <w:gridCol w:w="1276"/>
        <w:gridCol w:w="1276"/>
        <w:gridCol w:w="850"/>
        <w:gridCol w:w="1418"/>
        <w:gridCol w:w="1417"/>
      </w:tblGrid>
      <w:tr w:rsidR="00BF4FD2" w:rsidRPr="00847A94" w14:paraId="095DE3F0" w14:textId="77777777" w:rsidTr="00675594">
        <w:trPr>
          <w:trHeight w:val="594"/>
        </w:trPr>
        <w:tc>
          <w:tcPr>
            <w:tcW w:w="720" w:type="dxa"/>
            <w:vMerge w:val="restart"/>
            <w:textDirection w:val="btLr"/>
          </w:tcPr>
          <w:p w14:paraId="2BED1047" w14:textId="77777777" w:rsidR="00BF4FD2" w:rsidRPr="00847A94" w:rsidRDefault="00BF4FD2" w:rsidP="00675594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47A94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Perioada</w:t>
            </w:r>
          </w:p>
        </w:tc>
        <w:tc>
          <w:tcPr>
            <w:tcW w:w="540" w:type="dxa"/>
            <w:vMerge w:val="restart"/>
            <w:textDirection w:val="btLr"/>
          </w:tcPr>
          <w:p w14:paraId="40963A73" w14:textId="77777777" w:rsidR="00BF4FD2" w:rsidRPr="00847A94" w:rsidRDefault="00BF4FD2" w:rsidP="00675594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47A9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Săptămâna</w:t>
            </w:r>
          </w:p>
        </w:tc>
        <w:tc>
          <w:tcPr>
            <w:tcW w:w="4262" w:type="dxa"/>
            <w:gridSpan w:val="2"/>
          </w:tcPr>
          <w:p w14:paraId="5E4D32A1" w14:textId="77777777" w:rsidR="00BF4FD2" w:rsidRPr="00847A94" w:rsidRDefault="00BF4FD2" w:rsidP="0067559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47A94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Activități tutoriale (AT)</w:t>
            </w:r>
          </w:p>
        </w:tc>
        <w:tc>
          <w:tcPr>
            <w:tcW w:w="4394" w:type="dxa"/>
            <w:gridSpan w:val="2"/>
          </w:tcPr>
          <w:p w14:paraId="529C370F" w14:textId="77777777" w:rsidR="00BF4FD2" w:rsidRPr="00847A94" w:rsidRDefault="00BF4FD2" w:rsidP="0067559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47A94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Teme de control (TC)</w:t>
            </w:r>
          </w:p>
        </w:tc>
        <w:tc>
          <w:tcPr>
            <w:tcW w:w="2126" w:type="dxa"/>
            <w:gridSpan w:val="2"/>
          </w:tcPr>
          <w:p w14:paraId="4DF91BDB" w14:textId="77777777" w:rsidR="00BF4FD2" w:rsidRPr="00847A94" w:rsidRDefault="00BF4FD2" w:rsidP="0067559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47A9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Activități asistate (AA)</w:t>
            </w:r>
          </w:p>
        </w:tc>
        <w:tc>
          <w:tcPr>
            <w:tcW w:w="2835" w:type="dxa"/>
            <w:gridSpan w:val="2"/>
          </w:tcPr>
          <w:p w14:paraId="68AE7F7E" w14:textId="77777777" w:rsidR="00BF4FD2" w:rsidRPr="00847A94" w:rsidRDefault="00BF4FD2" w:rsidP="0067559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47A94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EVALUĂRI</w:t>
            </w:r>
          </w:p>
        </w:tc>
      </w:tr>
      <w:tr w:rsidR="00BF4FD2" w:rsidRPr="00847A94" w14:paraId="25122445" w14:textId="77777777" w:rsidTr="00675594">
        <w:trPr>
          <w:trHeight w:val="730"/>
        </w:trPr>
        <w:tc>
          <w:tcPr>
            <w:tcW w:w="720" w:type="dxa"/>
            <w:vMerge/>
          </w:tcPr>
          <w:p w14:paraId="71FE1586" w14:textId="77777777" w:rsidR="00BF4FD2" w:rsidRPr="00847A94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vMerge/>
          </w:tcPr>
          <w:p w14:paraId="3B8C9D62" w14:textId="77777777" w:rsidR="00BF4FD2" w:rsidRPr="00847A94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411" w:type="dxa"/>
          </w:tcPr>
          <w:p w14:paraId="1C7E7B11" w14:textId="77777777" w:rsidR="00BF4FD2" w:rsidRPr="00847A94" w:rsidRDefault="00BF4FD2" w:rsidP="0067559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47A94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Tema</w:t>
            </w:r>
          </w:p>
        </w:tc>
        <w:tc>
          <w:tcPr>
            <w:tcW w:w="851" w:type="dxa"/>
          </w:tcPr>
          <w:p w14:paraId="3B43F313" w14:textId="77777777" w:rsidR="00BF4FD2" w:rsidRPr="00847A94" w:rsidRDefault="00BF4FD2" w:rsidP="0067559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47A94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Nr. ore</w:t>
            </w:r>
          </w:p>
        </w:tc>
        <w:tc>
          <w:tcPr>
            <w:tcW w:w="3118" w:type="dxa"/>
          </w:tcPr>
          <w:p w14:paraId="38D0E6B6" w14:textId="77777777" w:rsidR="00BF4FD2" w:rsidRPr="00847A94" w:rsidRDefault="00BF4FD2" w:rsidP="0067559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47A94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Tematica</w:t>
            </w:r>
          </w:p>
          <w:p w14:paraId="412FA08B" w14:textId="77777777" w:rsidR="00BF4FD2" w:rsidRPr="00847A94" w:rsidRDefault="00BF4FD2" w:rsidP="0067559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5B2ED8D3" w14:textId="77777777" w:rsidR="00BF4FD2" w:rsidRPr="00847A94" w:rsidRDefault="00BF4FD2" w:rsidP="0067559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47A94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Termen predare /Nr.ore</w:t>
            </w:r>
          </w:p>
        </w:tc>
        <w:tc>
          <w:tcPr>
            <w:tcW w:w="1276" w:type="dxa"/>
          </w:tcPr>
          <w:p w14:paraId="2F40F8CF" w14:textId="77777777" w:rsidR="00BF4FD2" w:rsidRPr="00847A94" w:rsidRDefault="00BF4FD2" w:rsidP="0067559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47A9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Activitatea</w:t>
            </w:r>
          </w:p>
        </w:tc>
        <w:tc>
          <w:tcPr>
            <w:tcW w:w="850" w:type="dxa"/>
          </w:tcPr>
          <w:p w14:paraId="6A95F516" w14:textId="77777777" w:rsidR="00BF4FD2" w:rsidRPr="00847A94" w:rsidRDefault="00BF4FD2" w:rsidP="0067559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47A94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Nr. ore</w:t>
            </w:r>
          </w:p>
        </w:tc>
        <w:tc>
          <w:tcPr>
            <w:tcW w:w="1418" w:type="dxa"/>
          </w:tcPr>
          <w:p w14:paraId="15E84FAC" w14:textId="77777777" w:rsidR="00BF4FD2" w:rsidRPr="00847A94" w:rsidRDefault="00BF4FD2" w:rsidP="0067559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47A94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Data</w:t>
            </w:r>
          </w:p>
        </w:tc>
        <w:tc>
          <w:tcPr>
            <w:tcW w:w="1417" w:type="dxa"/>
          </w:tcPr>
          <w:p w14:paraId="0C452492" w14:textId="77777777" w:rsidR="00BF4FD2" w:rsidRPr="00847A94" w:rsidRDefault="00BF4FD2" w:rsidP="0067559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47A9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Tipul</w:t>
            </w:r>
          </w:p>
          <w:p w14:paraId="5398B986" w14:textId="77777777" w:rsidR="00BF4FD2" w:rsidRPr="00847A94" w:rsidRDefault="00BF4FD2" w:rsidP="0067559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47A9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</w:t>
            </w:r>
          </w:p>
        </w:tc>
      </w:tr>
      <w:tr w:rsidR="00BF4FD2" w:rsidRPr="00D037CA" w14:paraId="50EF7B82" w14:textId="77777777" w:rsidTr="00675594">
        <w:tc>
          <w:tcPr>
            <w:tcW w:w="720" w:type="dxa"/>
            <w:vMerge w:val="restart"/>
            <w:textDirection w:val="btLr"/>
          </w:tcPr>
          <w:p w14:paraId="440635B2" w14:textId="77777777" w:rsidR="00BF4FD2" w:rsidRPr="00D25197" w:rsidRDefault="00BF4FD2" w:rsidP="00675594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Pregătire curentă</w:t>
            </w:r>
          </w:p>
        </w:tc>
        <w:tc>
          <w:tcPr>
            <w:tcW w:w="540" w:type="dxa"/>
          </w:tcPr>
          <w:p w14:paraId="3D46C435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3411" w:type="dxa"/>
          </w:tcPr>
          <w:p w14:paraId="5EE1F739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1DD63AF9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3EA12033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465D11C7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7B7FE38B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74494D0B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3B1DA172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7AC77564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BF4FD2" w:rsidRPr="00D037CA" w14:paraId="006478B9" w14:textId="77777777" w:rsidTr="00675594">
        <w:tc>
          <w:tcPr>
            <w:tcW w:w="720" w:type="dxa"/>
            <w:vMerge/>
          </w:tcPr>
          <w:p w14:paraId="0E61FF93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6096599B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3411" w:type="dxa"/>
          </w:tcPr>
          <w:p w14:paraId="02F879C9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1164CBC5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62E9FD70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45AC9D5C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0A1DACF0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2F8036D9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64C4FD7E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743DC2BB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BF4FD2" w:rsidRPr="00D037CA" w14:paraId="6CE4951A" w14:textId="77777777" w:rsidTr="00675594">
        <w:tc>
          <w:tcPr>
            <w:tcW w:w="720" w:type="dxa"/>
            <w:vMerge/>
          </w:tcPr>
          <w:p w14:paraId="2977FD31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7B390C2D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3411" w:type="dxa"/>
          </w:tcPr>
          <w:p w14:paraId="56951E98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945E1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Regimul comun al contractului de transport. Contractul de transport. Definiţie, delimitare, clasificare, încheiere, condiţii de valabilitate, probă. Documentele de transport</w:t>
            </w:r>
          </w:p>
        </w:tc>
        <w:tc>
          <w:tcPr>
            <w:tcW w:w="851" w:type="dxa"/>
            <w:vAlign w:val="center"/>
          </w:tcPr>
          <w:p w14:paraId="31C39DFD" w14:textId="77777777" w:rsidR="00BF4FD2" w:rsidRPr="00D25197" w:rsidRDefault="00BF4FD2" w:rsidP="0067559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 ore</w:t>
            </w:r>
          </w:p>
        </w:tc>
        <w:tc>
          <w:tcPr>
            <w:tcW w:w="3118" w:type="dxa"/>
          </w:tcPr>
          <w:p w14:paraId="3890B48C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226B3D32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071774F2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29EE09DC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2BFCFB44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234017FA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BF4FD2" w:rsidRPr="00D037CA" w14:paraId="06564A42" w14:textId="77777777" w:rsidTr="00675594">
        <w:tc>
          <w:tcPr>
            <w:tcW w:w="720" w:type="dxa"/>
            <w:vMerge/>
          </w:tcPr>
          <w:p w14:paraId="18390AFF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5F67988D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3411" w:type="dxa"/>
          </w:tcPr>
          <w:p w14:paraId="245430BE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4CDEA27E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46235A52" w14:textId="3A706D46" w:rsidR="00BF4FD2" w:rsidRPr="00D25197" w:rsidRDefault="00E373D9" w:rsidP="00E373D9">
            <w:pPr>
              <w:pStyle w:val="Default"/>
              <w:ind w:left="3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Documentul electronic de transport (referat)</w:t>
            </w:r>
          </w:p>
        </w:tc>
        <w:tc>
          <w:tcPr>
            <w:tcW w:w="1276" w:type="dxa"/>
            <w:vAlign w:val="center"/>
          </w:tcPr>
          <w:p w14:paraId="554CE0B7" w14:textId="0AB340CD" w:rsidR="00BF4FD2" w:rsidRDefault="00BF4FD2" w:rsidP="0067559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7B8F2A2B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8</w:t>
            </w:r>
            <w:r w:rsidRPr="7B8F2A2B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.11.202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  <w:r w:rsidRPr="7B8F2A2B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/</w:t>
            </w:r>
          </w:p>
          <w:p w14:paraId="0155C006" w14:textId="77777777" w:rsidR="00BF4FD2" w:rsidRPr="00D25197" w:rsidRDefault="00BF4FD2" w:rsidP="0067559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 ore</w:t>
            </w:r>
          </w:p>
        </w:tc>
        <w:tc>
          <w:tcPr>
            <w:tcW w:w="1276" w:type="dxa"/>
          </w:tcPr>
          <w:p w14:paraId="51B45D1A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0F648DC2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1F9F0C38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33A4716C" w14:textId="77777777" w:rsidR="00BF4FD2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Verificare</w:t>
            </w:r>
          </w:p>
          <w:p w14:paraId="46A01519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10% din nota finală</w:t>
            </w:r>
          </w:p>
        </w:tc>
      </w:tr>
      <w:tr w:rsidR="00BF4FD2" w:rsidRPr="00D037CA" w14:paraId="19809035" w14:textId="77777777" w:rsidTr="00675594">
        <w:tc>
          <w:tcPr>
            <w:tcW w:w="720" w:type="dxa"/>
            <w:vMerge/>
          </w:tcPr>
          <w:p w14:paraId="376B8837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33556F56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3411" w:type="dxa"/>
          </w:tcPr>
          <w:p w14:paraId="6F9D0969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767EF2CF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7F35DE2A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5098F1E9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16854CD7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12E19BBD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74206E02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1B294674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BF4FD2" w:rsidRPr="00D037CA" w14:paraId="344B4E8A" w14:textId="77777777" w:rsidTr="00675594">
        <w:tc>
          <w:tcPr>
            <w:tcW w:w="720" w:type="dxa"/>
            <w:vMerge/>
          </w:tcPr>
          <w:p w14:paraId="74290057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63FF078F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</w:tc>
        <w:tc>
          <w:tcPr>
            <w:tcW w:w="3411" w:type="dxa"/>
          </w:tcPr>
          <w:p w14:paraId="49D1DFD3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13848A8E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5EC42873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2650ACD4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00030DD2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1035EBBD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7FA158D8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6BDA646B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BF4FD2" w:rsidRPr="00D037CA" w14:paraId="00F7B98F" w14:textId="77777777" w:rsidTr="00675594">
        <w:tc>
          <w:tcPr>
            <w:tcW w:w="720" w:type="dxa"/>
            <w:vMerge/>
          </w:tcPr>
          <w:p w14:paraId="4810CCBD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478B48E0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</w:p>
        </w:tc>
        <w:tc>
          <w:tcPr>
            <w:tcW w:w="3411" w:type="dxa"/>
          </w:tcPr>
          <w:p w14:paraId="45778786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15970AD4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5E87371D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045A340C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138B620A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653CDD84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6B0B0085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201FD9EA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BF4FD2" w:rsidRPr="00D037CA" w14:paraId="7C3CC147" w14:textId="77777777" w:rsidTr="00675594">
        <w:tc>
          <w:tcPr>
            <w:tcW w:w="720" w:type="dxa"/>
            <w:vMerge/>
          </w:tcPr>
          <w:p w14:paraId="3A96445E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31C9A470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8</w:t>
            </w:r>
          </w:p>
        </w:tc>
        <w:tc>
          <w:tcPr>
            <w:tcW w:w="3411" w:type="dxa"/>
          </w:tcPr>
          <w:p w14:paraId="1FB63D46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2D595F14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58A14207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3D6EF67C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64F2DB1F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53CD1990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7E5A9954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74B91A8E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BF4FD2" w:rsidRPr="00D037CA" w14:paraId="667EF4C1" w14:textId="77777777" w:rsidTr="00675594">
        <w:tc>
          <w:tcPr>
            <w:tcW w:w="720" w:type="dxa"/>
            <w:vMerge/>
          </w:tcPr>
          <w:p w14:paraId="41CFBF32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59E6CB7C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</w:p>
        </w:tc>
        <w:tc>
          <w:tcPr>
            <w:tcW w:w="3411" w:type="dxa"/>
          </w:tcPr>
          <w:p w14:paraId="06194A96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134F1D9C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5D2F973A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05C976B2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1CDB505A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24A63D53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188B6E93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381DB394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BF4FD2" w:rsidRPr="00D037CA" w14:paraId="5655575F" w14:textId="77777777" w:rsidTr="00675594">
        <w:tc>
          <w:tcPr>
            <w:tcW w:w="720" w:type="dxa"/>
            <w:vMerge/>
          </w:tcPr>
          <w:p w14:paraId="2F806E99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6D1FBF4B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</w:p>
        </w:tc>
        <w:tc>
          <w:tcPr>
            <w:tcW w:w="3411" w:type="dxa"/>
          </w:tcPr>
          <w:p w14:paraId="75FA86AC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270D5A04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464303B9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13F2B9DC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61D0E4BE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25E4333A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3E8E089E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69ED795A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BF4FD2" w:rsidRPr="00D037CA" w14:paraId="65B30948" w14:textId="77777777" w:rsidTr="00675594">
        <w:tc>
          <w:tcPr>
            <w:tcW w:w="720" w:type="dxa"/>
            <w:vMerge/>
          </w:tcPr>
          <w:p w14:paraId="2305C403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2F3D5B2B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11</w:t>
            </w:r>
          </w:p>
        </w:tc>
        <w:tc>
          <w:tcPr>
            <w:tcW w:w="3411" w:type="dxa"/>
          </w:tcPr>
          <w:p w14:paraId="5FDF3D50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Efectele contractului de transport de bunuri. Contractul de expediţie. Contractul de transport de persoane</w:t>
            </w:r>
          </w:p>
        </w:tc>
        <w:tc>
          <w:tcPr>
            <w:tcW w:w="851" w:type="dxa"/>
            <w:vAlign w:val="center"/>
          </w:tcPr>
          <w:p w14:paraId="124004DA" w14:textId="77777777" w:rsidR="00BF4FD2" w:rsidRPr="00D25197" w:rsidRDefault="00BF4FD2" w:rsidP="0067559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 ore</w:t>
            </w:r>
          </w:p>
        </w:tc>
        <w:tc>
          <w:tcPr>
            <w:tcW w:w="3118" w:type="dxa"/>
          </w:tcPr>
          <w:p w14:paraId="3D06CA0E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48825107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4A6B607E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1461B1A5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02E8C1B0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365B4000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BF4FD2" w:rsidRPr="00D037CA" w14:paraId="3763E4EE" w14:textId="77777777" w:rsidTr="00675594">
        <w:tc>
          <w:tcPr>
            <w:tcW w:w="720" w:type="dxa"/>
            <w:vMerge/>
          </w:tcPr>
          <w:p w14:paraId="2077F25D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3499A025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</w:t>
            </w:r>
          </w:p>
        </w:tc>
        <w:tc>
          <w:tcPr>
            <w:tcW w:w="3411" w:type="dxa"/>
          </w:tcPr>
          <w:p w14:paraId="04A1746D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40FC29ED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740D482C" w14:textId="439EFC9E" w:rsidR="00BF4FD2" w:rsidRPr="00BF4FD2" w:rsidRDefault="00BF4FD2" w:rsidP="00BF4FD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BF4FD2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De citit </w:t>
            </w:r>
            <w:r w:rsidRPr="00BF4FD2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decizia civilă referitoare la accidentul de la Mihăilești atașată și </w:t>
            </w:r>
            <w:r w:rsidRPr="00BF4FD2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de făcut</w:t>
            </w:r>
            <w:r w:rsidRPr="00BF4FD2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o prezentare a speței</w:t>
            </w:r>
            <w:r w:rsidRPr="00BF4FD2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</w:t>
            </w:r>
            <w:r w:rsidRPr="00BF4FD2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din perspectiva contractului de transport, arătând structurat:</w:t>
            </w:r>
          </w:p>
          <w:p w14:paraId="71BA9862" w14:textId="5E791022" w:rsidR="00BF4FD2" w:rsidRPr="00D25197" w:rsidRDefault="00BF4FD2" w:rsidP="00BF4FD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BF4FD2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1.părțile,</w:t>
            </w:r>
            <w:r w:rsidRPr="00BF4FD2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br/>
              <w:t>2.obiectul contractului, </w:t>
            </w:r>
            <w:r w:rsidRPr="00BF4FD2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br/>
            </w:r>
            <w:r w:rsidRPr="00BF4FD2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lastRenderedPageBreak/>
              <w:t>3. obligațiile nerespectate,</w:t>
            </w:r>
            <w:r w:rsidRPr="00BF4FD2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br/>
              <w:t>4. prejudiciile cauzate </w:t>
            </w:r>
            <w:r w:rsidRPr="00BF4FD2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br/>
              <w:t>și analizați</w:t>
            </w:r>
            <w:r w:rsidRPr="00BF4FD2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br/>
              <w:t>5. vinovăția sau cauzele de exonerare de răspundere,</w:t>
            </w:r>
            <w:r w:rsidRPr="00BF4FD2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br/>
              <w:t>6. cauzalitatea,  </w:t>
            </w:r>
            <w:r w:rsidRPr="00BF4FD2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br/>
              <w:t xml:space="preserve">respectiv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de stabilit</w:t>
            </w:r>
            <w:r w:rsidRPr="00BF4FD2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:</w:t>
            </w:r>
            <w:r w:rsidRPr="00BF4FD2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br/>
              <w:t>7. cui îi incumbă răspunderea civilă pentru acestea, natura ei (delictuală sau contractuală, obiectivă sau subiectivă, pentru lucruri, pentru fapta proprie sau indirectă etc.), </w:t>
            </w:r>
            <w:r w:rsidRPr="00BF4FD2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br/>
              <w:t>8. eventualul drept de regres posibil etc.</w:t>
            </w:r>
            <w:r w:rsidRPr="00BF4FD2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br/>
              <w:t xml:space="preserve">În analiza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sa, studentul</w:t>
            </w:r>
            <w:r w:rsidRPr="00BF4FD2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v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a</w:t>
            </w:r>
            <w:r w:rsidRPr="00BF4FD2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folosi starea de fapt reținută de instanța penală, raportul dintre hotărârea penală și aspectele de răspundere civilă (ce are autoritatea de lucru judecat și ce nu) și v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a</w:t>
            </w:r>
            <w:r w:rsidRPr="00BF4FD2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analiza critic sau aprobativ,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</w:t>
            </w:r>
            <w:r w:rsidRPr="00BF4FD2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doar soluția dată pe latura civilă, răspunzând și la întrebările de mai sus care nu au fost analizate de instanța penală în decizia dată.</w:t>
            </w:r>
          </w:p>
        </w:tc>
        <w:tc>
          <w:tcPr>
            <w:tcW w:w="1276" w:type="dxa"/>
            <w:vAlign w:val="center"/>
          </w:tcPr>
          <w:p w14:paraId="1E74CC75" w14:textId="6A716874" w:rsidR="00BF4FD2" w:rsidRDefault="00BF4FD2" w:rsidP="0067559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lastRenderedPageBreak/>
              <w:t>20.12.202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/</w:t>
            </w:r>
          </w:p>
          <w:p w14:paraId="01D46ADE" w14:textId="77777777" w:rsidR="00BF4FD2" w:rsidRPr="00D25197" w:rsidRDefault="00BF4FD2" w:rsidP="0067559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 ore</w:t>
            </w:r>
          </w:p>
        </w:tc>
        <w:tc>
          <w:tcPr>
            <w:tcW w:w="1276" w:type="dxa"/>
          </w:tcPr>
          <w:p w14:paraId="4D146944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23172C66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4B0F159A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1CBC98E7" w14:textId="77777777" w:rsidR="00BF4FD2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Verificare </w:t>
            </w:r>
          </w:p>
          <w:p w14:paraId="0A42953C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10% din nota finală</w:t>
            </w:r>
          </w:p>
        </w:tc>
      </w:tr>
      <w:tr w:rsidR="00BF4FD2" w:rsidRPr="00D037CA" w14:paraId="678C44C7" w14:textId="77777777" w:rsidTr="00675594">
        <w:tc>
          <w:tcPr>
            <w:tcW w:w="720" w:type="dxa"/>
            <w:vMerge/>
          </w:tcPr>
          <w:p w14:paraId="0E5258E7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0829529D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13</w:t>
            </w:r>
          </w:p>
        </w:tc>
        <w:tc>
          <w:tcPr>
            <w:tcW w:w="3411" w:type="dxa"/>
          </w:tcPr>
          <w:p w14:paraId="34530975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709E9EB9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103C1B84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6CF8579D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0E4618E0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32350026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3653832D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3CDC393A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BF4FD2" w:rsidRPr="00D037CA" w14:paraId="75C3C7A6" w14:textId="77777777" w:rsidTr="00675594">
        <w:tc>
          <w:tcPr>
            <w:tcW w:w="720" w:type="dxa"/>
            <w:vMerge/>
          </w:tcPr>
          <w:p w14:paraId="0B3776EA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69D9A2B5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14</w:t>
            </w:r>
          </w:p>
        </w:tc>
        <w:tc>
          <w:tcPr>
            <w:tcW w:w="3411" w:type="dxa"/>
          </w:tcPr>
          <w:p w14:paraId="5D43E054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1001E9E9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347738A2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5CC4600A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74A53A85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01C2E6D3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2D1DCC59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6B3545CD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BF4FD2" w:rsidRPr="00D037CA" w14:paraId="7BA164BB" w14:textId="77777777" w:rsidTr="00675594">
        <w:tc>
          <w:tcPr>
            <w:tcW w:w="720" w:type="dxa"/>
            <w:vMerge w:val="restart"/>
            <w:textDirection w:val="btLr"/>
          </w:tcPr>
          <w:p w14:paraId="72CF2702" w14:textId="77777777" w:rsidR="00BF4FD2" w:rsidRPr="00D25197" w:rsidRDefault="00BF4FD2" w:rsidP="00675594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Sesiune examene</w:t>
            </w:r>
          </w:p>
        </w:tc>
        <w:tc>
          <w:tcPr>
            <w:tcW w:w="540" w:type="dxa"/>
          </w:tcPr>
          <w:p w14:paraId="101873BC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3411" w:type="dxa"/>
          </w:tcPr>
          <w:p w14:paraId="151CBE74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0AC322BD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7B1861C8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716C2D8A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5E1BF8F3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722A58D1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5D9E4242" w14:textId="5A5D3C5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Ianuarie 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-Data</w:t>
            </w:r>
          </w:p>
        </w:tc>
        <w:tc>
          <w:tcPr>
            <w:tcW w:w="1417" w:type="dxa"/>
          </w:tcPr>
          <w:p w14:paraId="1B60D364" w14:textId="77777777" w:rsidR="00BF4FD2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Examen </w:t>
            </w:r>
          </w:p>
          <w:p w14:paraId="6C9A6F01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80% din nota finală</w:t>
            </w:r>
          </w:p>
        </w:tc>
      </w:tr>
      <w:tr w:rsidR="00BF4FD2" w:rsidRPr="00D037CA" w14:paraId="4E388E7B" w14:textId="77777777" w:rsidTr="00675594">
        <w:tc>
          <w:tcPr>
            <w:tcW w:w="720" w:type="dxa"/>
            <w:vMerge/>
          </w:tcPr>
          <w:p w14:paraId="79A2655F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6617EF10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3411" w:type="dxa"/>
          </w:tcPr>
          <w:p w14:paraId="3F3B14E6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589D9E75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31D4E5B7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4F7D76F2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1B48F71C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593CB4CD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08F10F31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22E081CD" w14:textId="77777777" w:rsidR="00BF4FD2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Examen </w:t>
            </w:r>
          </w:p>
          <w:p w14:paraId="19E05564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80% din nota finală</w:t>
            </w:r>
          </w:p>
        </w:tc>
      </w:tr>
      <w:tr w:rsidR="00BF4FD2" w:rsidRPr="00D037CA" w14:paraId="7BC19249" w14:textId="77777777" w:rsidTr="00675594">
        <w:tc>
          <w:tcPr>
            <w:tcW w:w="720" w:type="dxa"/>
            <w:vMerge/>
          </w:tcPr>
          <w:p w14:paraId="6ABEE484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38518202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3411" w:type="dxa"/>
          </w:tcPr>
          <w:p w14:paraId="29F54957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420B5470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47B3319E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40834793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075DAFB1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3029D23F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4F739686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20627224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BF4FD2" w:rsidRPr="00D037CA" w14:paraId="4CA65020" w14:textId="77777777" w:rsidTr="00675594">
        <w:trPr>
          <w:trHeight w:val="345"/>
        </w:trPr>
        <w:tc>
          <w:tcPr>
            <w:tcW w:w="720" w:type="dxa"/>
            <w:vMerge/>
          </w:tcPr>
          <w:p w14:paraId="4C15F819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01DBC169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3411" w:type="dxa"/>
          </w:tcPr>
          <w:p w14:paraId="669782F4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5D87B21E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39C913D2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720A40D8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0E668B58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0EFC5F9A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02EC4601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3D464A89" w14:textId="77777777" w:rsidR="00BF4FD2" w:rsidRPr="00D25197" w:rsidRDefault="00BF4FD2" w:rsidP="006755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235CAAC0" w14:textId="77777777" w:rsidR="00BF4FD2" w:rsidRPr="00847A94" w:rsidRDefault="00BF4FD2" w:rsidP="00BF4FD2">
      <w:pPr>
        <w:pStyle w:val="Default"/>
        <w:ind w:right="-500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  <w:lang w:val="ro-RO"/>
        </w:rPr>
      </w:pPr>
    </w:p>
    <w:p w14:paraId="350F5A66" w14:textId="77777777" w:rsidR="00BF4FD2" w:rsidRPr="00847A94" w:rsidRDefault="00BF4FD2" w:rsidP="00BF4FD2">
      <w:pPr>
        <w:pStyle w:val="Default"/>
        <w:ind w:right="-500"/>
        <w:jc w:val="both"/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 w:rsidRPr="00847A94">
        <w:rPr>
          <w:rFonts w:ascii="Times New Roman" w:hAnsi="Times New Roman" w:cs="Times New Roman"/>
          <w:b/>
          <w:bCs/>
          <w:color w:val="auto"/>
          <w:sz w:val="20"/>
          <w:szCs w:val="20"/>
          <w:lang w:val="ro-RO"/>
        </w:rPr>
        <w:t xml:space="preserve">E </w:t>
      </w:r>
      <w:r w:rsidRPr="00847A94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– examen, </w:t>
      </w:r>
      <w:r w:rsidRPr="00847A94">
        <w:rPr>
          <w:rFonts w:ascii="Times New Roman" w:hAnsi="Times New Roman" w:cs="Times New Roman"/>
          <w:b/>
          <w:bCs/>
          <w:color w:val="auto"/>
          <w:sz w:val="20"/>
          <w:szCs w:val="20"/>
          <w:lang w:val="ro-RO"/>
        </w:rPr>
        <w:t>C</w:t>
      </w:r>
      <w:r w:rsidRPr="00847A94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– colocviu, </w:t>
      </w:r>
      <w:r w:rsidRPr="00847A94">
        <w:rPr>
          <w:rFonts w:ascii="Times New Roman" w:hAnsi="Times New Roman" w:cs="Times New Roman"/>
          <w:b/>
          <w:bCs/>
          <w:color w:val="auto"/>
          <w:sz w:val="20"/>
          <w:szCs w:val="20"/>
          <w:lang w:val="ro-RO"/>
        </w:rPr>
        <w:t>V</w:t>
      </w:r>
      <w:r w:rsidRPr="00847A94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– verificare pe parcurs </w:t>
      </w:r>
    </w:p>
    <w:p w14:paraId="290BBBF2" w14:textId="77777777" w:rsidR="00BF4FD2" w:rsidRPr="00847A94" w:rsidRDefault="00BF4FD2" w:rsidP="00BF4FD2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sz w:val="20"/>
          <w:szCs w:val="20"/>
          <w:lang w:val="ro-RO"/>
        </w:rPr>
      </w:pPr>
    </w:p>
    <w:p w14:paraId="4235F1EE" w14:textId="77777777" w:rsidR="00BF4FD2" w:rsidRPr="00847A94" w:rsidRDefault="00BF4FD2" w:rsidP="00BF4FD2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 w:rsidRPr="00847A94">
        <w:rPr>
          <w:rFonts w:ascii="Times New Roman" w:hAnsi="Times New Roman" w:cs="Times New Roman"/>
          <w:color w:val="auto"/>
          <w:sz w:val="20"/>
          <w:szCs w:val="20"/>
          <w:lang w:val="ro-RO"/>
        </w:rPr>
        <w:t>Coordonator de disciplină,</w:t>
      </w:r>
      <w:r w:rsidRPr="00847A94">
        <w:rPr>
          <w:rFonts w:ascii="Times New Roman" w:hAnsi="Times New Roman" w:cs="Times New Roman"/>
          <w:color w:val="auto"/>
          <w:sz w:val="20"/>
          <w:szCs w:val="20"/>
          <w:lang w:val="ro-RO"/>
        </w:rPr>
        <w:tab/>
        <w:t xml:space="preserve">Tutore, </w:t>
      </w:r>
    </w:p>
    <w:p w14:paraId="2A8F0816" w14:textId="77777777" w:rsidR="00BF4FD2" w:rsidRPr="00847A94" w:rsidRDefault="00BF4FD2" w:rsidP="00BF4FD2">
      <w:pPr>
        <w:pStyle w:val="Default"/>
        <w:tabs>
          <w:tab w:val="left" w:pos="10620"/>
        </w:tabs>
        <w:ind w:left="1800" w:right="-500"/>
        <w:rPr>
          <w:b/>
          <w:bCs/>
          <w:i/>
          <w:iCs/>
          <w:color w:val="2F5496"/>
          <w:sz w:val="20"/>
          <w:szCs w:val="20"/>
          <w:lang w:val="ro-RO"/>
        </w:rPr>
      </w:pPr>
      <w:r w:rsidRPr="00847A94">
        <w:rPr>
          <w:rFonts w:ascii="Times New Roman" w:hAnsi="Times New Roman" w:cs="Times New Roman"/>
          <w:color w:val="auto"/>
          <w:sz w:val="20"/>
          <w:szCs w:val="20"/>
          <w:lang w:val="ro-RO"/>
        </w:rPr>
        <w:lastRenderedPageBreak/>
        <w:t>Lect. univ. dr. Adina-Nora Buciuman</w:t>
      </w:r>
      <w:r w:rsidRPr="00847A94">
        <w:rPr>
          <w:rFonts w:ascii="Times New Roman" w:hAnsi="Times New Roman" w:cs="Times New Roman"/>
          <w:color w:val="auto"/>
          <w:sz w:val="20"/>
          <w:szCs w:val="20"/>
          <w:lang w:val="ro-RO"/>
        </w:rPr>
        <w:tab/>
        <w:t>Lect. Univ. dr. Adina-Nora Buciuman</w:t>
      </w:r>
    </w:p>
    <w:p w14:paraId="4C35F88D" w14:textId="77777777" w:rsidR="00BF4FD2" w:rsidRDefault="00BF4FD2" w:rsidP="00BF4FD2"/>
    <w:p w14:paraId="4D8D1AC7" w14:textId="77777777" w:rsidR="00BF4FD2" w:rsidRDefault="00BF4FD2" w:rsidP="00BF4FD2"/>
    <w:p w14:paraId="757DFE26" w14:textId="77777777" w:rsidR="008760D1" w:rsidRDefault="008760D1"/>
    <w:sectPr w:rsidR="008760D1" w:rsidSect="00BF4FD2">
      <w:headerReference w:type="default" r:id="rId5"/>
      <w:pgSz w:w="16840" w:h="11907" w:orient="landscape" w:code="9"/>
      <w:pgMar w:top="1138" w:right="1138" w:bottom="1411" w:left="1138" w:header="706" w:footer="706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9312A" w14:textId="77777777" w:rsidR="00BF4FD2" w:rsidRPr="00B62EE7" w:rsidRDefault="00BF4FD2" w:rsidP="00CC2300">
    <w:pPr>
      <w:pStyle w:val="Antet"/>
    </w:pPr>
  </w:p>
  <w:p w14:paraId="47EFEF2D" w14:textId="77777777" w:rsidR="00BF4FD2" w:rsidRDefault="00BF4F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B2EDC"/>
    <w:multiLevelType w:val="hybridMultilevel"/>
    <w:tmpl w:val="0D9C78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33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D2"/>
    <w:rsid w:val="001A5FBD"/>
    <w:rsid w:val="002C7B06"/>
    <w:rsid w:val="005D7283"/>
    <w:rsid w:val="007C787A"/>
    <w:rsid w:val="008760D1"/>
    <w:rsid w:val="00921F39"/>
    <w:rsid w:val="00BF4FD2"/>
    <w:rsid w:val="00CF3FF0"/>
    <w:rsid w:val="00D85BC4"/>
    <w:rsid w:val="00E3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C309"/>
  <w15:chartTrackingRefBased/>
  <w15:docId w15:val="{5CCC5348-A270-4BCA-8867-BF7BFE83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FD2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1A5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A5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A5F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A5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A5F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A5F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A5F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A5F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A5F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A5F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A5F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A5F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A5FBD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A5FBD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A5FB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A5FB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A5FB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A5FB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A5F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A5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A5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A5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f">
    <w:name w:val="List Paragraph"/>
    <w:basedOn w:val="Normal"/>
    <w:uiPriority w:val="34"/>
    <w:qFormat/>
    <w:rsid w:val="001A5FBD"/>
    <w:pPr>
      <w:ind w:left="720"/>
      <w:contextualSpacing/>
    </w:pPr>
  </w:style>
  <w:style w:type="paragraph" w:styleId="Citat">
    <w:name w:val="Quote"/>
    <w:basedOn w:val="Normal"/>
    <w:next w:val="Normal"/>
    <w:link w:val="CitatCaracter"/>
    <w:uiPriority w:val="29"/>
    <w:qFormat/>
    <w:rsid w:val="001A5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A5FBD"/>
    <w:rPr>
      <w:i/>
      <w:iCs/>
      <w:color w:val="404040" w:themeColor="text1" w:themeTint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A5F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A5FBD"/>
    <w:rPr>
      <w:i/>
      <w:iCs/>
      <w:color w:val="0F4761" w:themeColor="accent1" w:themeShade="BF"/>
    </w:rPr>
  </w:style>
  <w:style w:type="character" w:styleId="Accentuareintens">
    <w:name w:val="Intense Emphasis"/>
    <w:basedOn w:val="Fontdeparagrafimplicit"/>
    <w:uiPriority w:val="21"/>
    <w:qFormat/>
    <w:rsid w:val="001A5FBD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A5FBD"/>
    <w:rPr>
      <w:b/>
      <w:bCs/>
      <w:smallCaps/>
      <w:color w:val="0F4761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rsid w:val="00BF4FD2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F4FD2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customStyle="1" w:styleId="Default">
    <w:name w:val="Default"/>
    <w:uiPriority w:val="99"/>
    <w:rsid w:val="00BF4FD2"/>
    <w:pPr>
      <w:autoSpaceDE w:val="0"/>
      <w:autoSpaceDN w:val="0"/>
      <w:adjustRightInd w:val="0"/>
    </w:pPr>
    <w:rPr>
      <w:rFonts w:ascii="Cambria" w:eastAsia="Calibri" w:hAnsi="Cambria" w:cs="Cambri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353</Words>
  <Characters>1995</Characters>
  <Application>Microsoft Office Word</Application>
  <DocSecurity>0</DocSecurity>
  <Lines>665</Lines>
  <Paragraphs>138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 Buciuman</dc:creator>
  <cp:keywords/>
  <dc:description/>
  <cp:lastModifiedBy>Adina Buciuman</cp:lastModifiedBy>
  <cp:revision>2</cp:revision>
  <dcterms:created xsi:type="dcterms:W3CDTF">2025-10-28T10:49:00Z</dcterms:created>
  <dcterms:modified xsi:type="dcterms:W3CDTF">2025-10-28T11:03:00Z</dcterms:modified>
</cp:coreProperties>
</file>