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120" w:lineRule="auto"/>
        <w:ind w:firstLine="56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6498"/>
        <w:tblGridChange w:id="0">
          <w:tblGrid>
            <w:gridCol w:w="3402"/>
            <w:gridCol w:w="6498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1.1. Instituţia de învăţământ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Universitatea Babeș-Bolyai din Cluj Napoca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5"/>
              <w:spacing w:before="0" w:line="240" w:lineRule="auto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1.2. Facultatea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1.3. Departamentul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 Privat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1.4.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Domeniul de studii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34" w:firstLine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Ciclul de studii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Licență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1.6. Programul de studii / Calificarea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Studii universitare/Jurist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1.7. Forma de învăţământ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Învățământ la distanță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2. Date despre disciplină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  <w:tblGridChange w:id="0">
          <w:tblGrid>
            <w:gridCol w:w="1447"/>
            <w:gridCol w:w="708"/>
            <w:gridCol w:w="75"/>
            <w:gridCol w:w="1201"/>
            <w:gridCol w:w="567"/>
            <w:gridCol w:w="500"/>
            <w:gridCol w:w="1343"/>
            <w:gridCol w:w="709"/>
            <w:gridCol w:w="283"/>
            <w:gridCol w:w="992"/>
            <w:gridCol w:w="541"/>
            <w:gridCol w:w="735"/>
            <w:gridCol w:w="79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2.1. Denumirea disciplinei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Garantarea Executării Obligațiilor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Codul disciplinei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DLR3187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2.2. Titularul activităţilor de curs – Coordonatorul de disciplină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Lect. dr. Adrian TAMBA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2.3. Titularul activităţilor de seminar / laborator / proiect – tutorele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Lect. dr. Adrian TAMBA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2.4. Anul de studiu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E">
            <w:pPr>
              <w:ind w:right="-203"/>
              <w:rPr/>
            </w:pPr>
            <w:r w:rsidDel="00000000" w:rsidR="00000000" w:rsidRPr="00000000">
              <w:rPr>
                <w:rtl w:val="0"/>
              </w:rPr>
              <w:t xml:space="preserve">2.5. Semestrul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1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2.6. Tipul </w:t>
            </w:r>
          </w:p>
          <w:p w:rsidR="00000000" w:rsidDel="00000000" w:rsidP="00000000" w:rsidRDefault="00000000" w:rsidRPr="00000000" w14:paraId="00000042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de evaluare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5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2.7. Regimul disciplinei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Conţinut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Felul disciplinei</w:t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Obligativitate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Obligatorie/</w:t>
            </w:r>
          </w:p>
          <w:p w:rsidR="00000000" w:rsidDel="00000000" w:rsidP="00000000" w:rsidRDefault="00000000" w:rsidRPr="00000000" w14:paraId="0000005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opțională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Timpul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(ore pe semestru al activităţilor didactice)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5"/>
        <w:gridCol w:w="450"/>
        <w:gridCol w:w="90"/>
        <w:gridCol w:w="1350"/>
        <w:gridCol w:w="630"/>
        <w:gridCol w:w="1890"/>
        <w:gridCol w:w="450"/>
        <w:gridCol w:w="2610"/>
        <w:gridCol w:w="540"/>
        <w:tblGridChange w:id="0">
          <w:tblGrid>
            <w:gridCol w:w="1885"/>
            <w:gridCol w:w="450"/>
            <w:gridCol w:w="90"/>
            <w:gridCol w:w="1350"/>
            <w:gridCol w:w="630"/>
            <w:gridCol w:w="1890"/>
            <w:gridCol w:w="450"/>
            <w:gridCol w:w="2610"/>
            <w:gridCol w:w="540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3.1. Număr de ore pe săptămână – forma cu frecvenţă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din care: 3.2. curs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Style w:val="Heading2"/>
              <w:ind w:left="36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Style w:val="Heading2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3.3. seminar/ laborator/ proiect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3.4. Total ore pe semestru – forma Învățământ la distanță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din care: 3.5.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AI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3.6. AT (4 ore) + TC ( 10 ore) + AA ( 0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Distribuţia fondului de timp pentru studiul individual (SI) și activități de autoinstruire (AI)</w:t>
            </w:r>
          </w:p>
          <w:p w:rsidR="00000000" w:rsidDel="00000000" w:rsidP="00000000" w:rsidRDefault="00000000" w:rsidRPr="00000000" w14:paraId="00000077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 ore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3.5.1. Studiul după manual, suport de curs, bibliografie şi notiţe (AI)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9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3.5.2. Documentare suplimentară în bibliotecă, pe platformele electronice de specialitate şi pe teren</w:t>
            </w:r>
          </w:p>
        </w:tc>
        <w:tc>
          <w:tcPr/>
          <w:p w:rsidR="00000000" w:rsidDel="00000000" w:rsidP="00000000" w:rsidRDefault="00000000" w:rsidRPr="00000000" w14:paraId="00000091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2">
            <w:pPr>
              <w:pStyle w:val="Heading2"/>
              <w:rPr>
                <w:b w:val="0"/>
                <w:bCs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3.5.3. Pregătire seminare/ laboratoare/ proiecte, teme, referate, portofolii şi eseuri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B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3.5.4.Tutoriat (consiliere profesională)</w:t>
            </w:r>
          </w:p>
        </w:tc>
        <w:tc>
          <w:tcPr/>
          <w:p w:rsidR="00000000" w:rsidDel="00000000" w:rsidP="00000000" w:rsidRDefault="00000000" w:rsidRPr="00000000" w14:paraId="000000A3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3.5.5.Examinări</w:t>
            </w:r>
          </w:p>
        </w:tc>
        <w:tc>
          <w:tcPr/>
          <w:p w:rsidR="00000000" w:rsidDel="00000000" w:rsidP="00000000" w:rsidRDefault="00000000" w:rsidRPr="00000000" w14:paraId="000000AC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D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3.5.6. Alte activităţi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3.7. Total ore studiu individual (SI) și activități de autoinstruire (AI)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3.8. Total ore pe semestru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Style w:val="Heading2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3.9. Numărul de credite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BF">
      <w:pPr>
        <w:ind w:right="-874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bCs w:val="1"/>
          <w:rtl w:val="0"/>
        </w:rPr>
        <w:t xml:space="preserve">4. Precondiţii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4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920"/>
        <w:tblGridChange w:id="0">
          <w:tblGrid>
            <w:gridCol w:w="1980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4.1. de curriculum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left="72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4.2. de competenţe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72" w:firstLine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bCs w:val="1"/>
          <w:rtl w:val="0"/>
        </w:rPr>
        <w:t xml:space="preserve">5. 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5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6923"/>
        <w:tblGridChange w:id="0">
          <w:tblGrid>
            <w:gridCol w:w="2977"/>
            <w:gridCol w:w="6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5.1. de desfăşurare a cursului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5.2. de desfăşurare a seminarului/ laboratorului/ proiectului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Competenţe specifice acumulate</w:t>
      </w:r>
    </w:p>
    <w:tbl>
      <w:tblPr>
        <w:tblStyle w:val="Table6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333"/>
        <w:tblGridChange w:id="0">
          <w:tblGrid>
            <w:gridCol w:w="567"/>
            <w:gridCol w:w="9333"/>
          </w:tblGrid>
        </w:tblGridChange>
      </w:tblGrid>
      <w:tr>
        <w:trPr>
          <w:cantSplit w:val="1"/>
          <w:trHeight w:val="1332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profesionale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Utilizarea adecvată a conceptelor, teoriilor, paradigmelor și a metodologiilor din domeniul juridic;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Aplicarea tehnicilor și instrumentelor specifice domeniului juridic;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Aplicarea legislației românești, a legislației europene și a celorlalte instrumente juridice internaționale;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Interpretarea, corelarea și compararea instituțiilor juridice din dreptul național, dreptul european și dreptul altor state;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Aplicarea cunoștințelor necesare în culegerea datelor și informațiilor referitoare la o problemă de drept concretă;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-      Utilizarea legislației în vigoare în analiza situațiilor juridice, în încadrarea lor corectă din punct de vedere juridic și în soluționarea lor.</w:t>
            </w:r>
          </w:p>
        </w:tc>
      </w:tr>
      <w:tr>
        <w:trPr>
          <w:cantSplit w:val="1"/>
          <w:trHeight w:val="1403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transversale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spacing w:line="276" w:lineRule="auto"/>
              <w:ind w:left="1011" w:hanging="36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</w:t>
            </w:r>
            <w:r w:rsidDel="00000000" w:rsidR="00000000" w:rsidRPr="00000000">
              <w:rPr>
                <w:rtl w:val="0"/>
              </w:rPr>
              <w:t xml:space="preserve">Realizarea sarcinilor profesionale în mod eficient și responsabil, cu respectarea regulilor deontologice specifice domeniului;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spacing w:line="276" w:lineRule="auto"/>
              <w:ind w:left="1011" w:hanging="360"/>
              <w:rPr/>
            </w:pPr>
            <w:r w:rsidDel="00000000" w:rsidR="00000000" w:rsidRPr="00000000">
              <w:rPr>
                <w:rtl w:val="0"/>
              </w:rPr>
              <w:t xml:space="preserve">Aplicarea tehnicilor de muncă eficientă în echipă (cu elemente de interdisciplinaritate), cu respectarea palierelor ierarhice;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-      Utilizarea eficientă a resurselor de comunicare și a surselor de informare și de formare profesională asistată, atât în limba română, cât și într-o limbă de circulație internațională.</w:t>
            </w:r>
          </w:p>
        </w:tc>
      </w:tr>
    </w:tbl>
    <w:p w:rsidR="00000000" w:rsidDel="00000000" w:rsidP="00000000" w:rsidRDefault="00000000" w:rsidRPr="00000000" w14:paraId="000000D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bCs w:val="1"/>
          <w:rtl w:val="0"/>
        </w:rPr>
        <w:t xml:space="preserve">7. Obiectivele disciplinei </w:t>
      </w:r>
      <w:r w:rsidDel="00000000" w:rsidR="00000000" w:rsidRPr="00000000">
        <w:rPr>
          <w:rtl w:val="0"/>
        </w:rPr>
        <w:t xml:space="preserve">(reieşind din grila competenţelor specifice acumulate)</w:t>
      </w:r>
    </w:p>
    <w:tbl>
      <w:tblPr>
        <w:tblStyle w:val="Table7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673"/>
        <w:tblGridChange w:id="0">
          <w:tblGrid>
            <w:gridCol w:w="3227"/>
            <w:gridCol w:w="6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7.1. Obiectivul general al disciplinei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Înțelegerea, în detaliu, a garanțiilor și capacitatea de utilizare practică a respectivelor garanții.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7.2. Obiectivele specifice</w:t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651" w:firstLine="0"/>
              <w:rPr/>
            </w:pPr>
            <w:r w:rsidDel="00000000" w:rsidR="00000000" w:rsidRPr="00000000">
              <w:rPr>
                <w:rtl w:val="0"/>
              </w:rPr>
              <w:t xml:space="preserve">Aptitudinea de a distinge între garanții și mecanisme care, fără să fie garanții, duc la rezultate similare.</w:t>
            </w:r>
          </w:p>
          <w:p w:rsidR="00000000" w:rsidDel="00000000" w:rsidP="00000000" w:rsidRDefault="00000000" w:rsidRPr="00000000" w14:paraId="000000E1">
            <w:pPr>
              <w:ind w:left="651" w:firstLine="0"/>
              <w:rPr/>
            </w:pPr>
            <w:r w:rsidDel="00000000" w:rsidR="00000000" w:rsidRPr="00000000">
              <w:rPr>
                <w:rtl w:val="0"/>
              </w:rPr>
              <w:t xml:space="preserve">Aptitudinea de a genera o pluralitate de garanții (e.g., fideiusiune și ipotecă).</w:t>
            </w:r>
          </w:p>
          <w:p w:rsidR="00000000" w:rsidDel="00000000" w:rsidP="00000000" w:rsidRDefault="00000000" w:rsidRPr="00000000" w14:paraId="000000E2">
            <w:pPr>
              <w:ind w:left="651" w:firstLine="0"/>
              <w:rPr/>
            </w:pPr>
            <w:r w:rsidDel="00000000" w:rsidR="00000000" w:rsidRPr="00000000">
              <w:rPr>
                <w:rtl w:val="0"/>
              </w:rPr>
              <w:t xml:space="preserve">Aptitudinea de a alege între diverse garanții, atunci când mai multe sunt disponibile (e.g., o scrisoare de garanție, în loc de o fideiusiune).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Aptitudinea de a identifica, pe baza nevoilor unui client, garanția mai potrivită, atunci când mai multe sunt la îndemână (e.g., fideiusiunea și scrisoarea de garanție sunt disponibile; clientul își dorește o garanție, care să nu-i permită garantului să invoce apărări legate de contractul de bază; va fi aleasă fideiusiunea sau scrisoarea de garanție?).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Conţinuturi</w:t>
      </w:r>
    </w:p>
    <w:tbl>
      <w:tblPr>
        <w:tblStyle w:val="Table8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2552"/>
        <w:gridCol w:w="2562"/>
        <w:tblGridChange w:id="0">
          <w:tblGrid>
            <w:gridCol w:w="4786"/>
            <w:gridCol w:w="2552"/>
            <w:gridCol w:w="2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8.1. AI, 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1. Discuții de început și chestiuni administrative. Expunerea manierei de derulare a cursurilor. Indicarea cerințelor, la care sunt supuși studenții. Prezentarea tipului de examen.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2. Aspecte introductive. Legătura dintre patrimoniu și garanții.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3. Garanțiile personale. Mențiuni de început. Succesul garanțiilor personale. Caracterele esențiale ale unei garanții personale.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4. Fideiusiunea. Definiții. Contextul fideiusiunii. Trăsăturile fideiusiunii. Exigențe de fond ale fideiusiunii. Obligații ce pot fi garantate printr-o fideiusiune. Limitele fideiusiunii.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5. Efectele fideiusiunii. Stingerea fideiusiunii.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6. Garanțiile autonome sau independente. Vocabule introductive. Garanțiile independente – proveniență.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7. Garanțiile autonome sau independente – scrisoarea de garanție și scrisoarea de confort.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8. Privilegiile sau Prioritățile. Topografie – Codul civil român. Drept străin (i.e., Québec). Trăsăturile privilegiilor. Concursul și privilegiile. Stingerea privilegiilor.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9. Ipoteca – aspecte generale. Ipoteca imobiliară. Definiție. Clasificări. Stingerea ipotecii imobiliare.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Ipoteca mobiliară. Aspecte introductive. Sursa sau izvorul. Publicitatea. Executarea. Stingerea.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Gajul.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Dreptul de retenție.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Proprietatea cedată ca garanție – fiducia-garanție.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 Codul civil român;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 Codul de procedură civilă român;</w:t>
            </w:r>
          </w:p>
          <w:p w:rsidR="00000000" w:rsidDel="00000000" w:rsidP="00000000" w:rsidRDefault="00000000" w:rsidRPr="00000000" w14:paraId="0000010F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 L. Pop, I.-Fl. Popa, S. I. Vidu,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drept civil. Obligațiile</w:t>
            </w:r>
            <w:r w:rsidDel="00000000" w:rsidR="00000000" w:rsidRPr="00000000">
              <w:rPr>
                <w:rtl w:val="0"/>
              </w:rPr>
              <w:t xml:space="preserve">, Universul Juridic, București, 2015;</w:t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 P. Vasilescu,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Drept civil. Obligații</w:t>
            </w:r>
            <w:r w:rsidDel="00000000" w:rsidR="00000000" w:rsidRPr="00000000">
              <w:rPr>
                <w:rtl w:val="0"/>
              </w:rPr>
              <w:t xml:space="preserve">, ediția a 2-a, Hamangiu, București, 2017;</w:t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5) J.-L. Baudouin, Y. Renaud,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Code civil du Québec annoté</w:t>
            </w:r>
            <w:r w:rsidDel="00000000" w:rsidR="00000000" w:rsidRPr="00000000">
              <w:rPr>
                <w:rtl w:val="0"/>
              </w:rPr>
              <w:t xml:space="preserve">, tome 2, 15</w:t>
            </w:r>
            <w:r w:rsidDel="00000000" w:rsidR="00000000" w:rsidRPr="00000000">
              <w:rPr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édition, Wilson &amp; Lafleur, Montréal, 2012;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6) M. Cabrillac, Ch. Moully, S. Cabrillac, Ph. Pétel,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Droit des sûretés</w:t>
            </w:r>
            <w:r w:rsidDel="00000000" w:rsidR="00000000" w:rsidRPr="00000000">
              <w:rPr>
                <w:rtl w:val="0"/>
              </w:rPr>
              <w:t xml:space="preserve">, 9</w:t>
            </w:r>
            <w:r w:rsidDel="00000000" w:rsidR="00000000" w:rsidRPr="00000000">
              <w:rPr>
                <w:vertAlign w:val="superscript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édition, Lexis Nexis, Paris, 2010;</w:t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7) J. J. White &amp; R. S. Summers,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Uniform Commercial Code</w:t>
            </w:r>
            <w:r w:rsidDel="00000000" w:rsidR="00000000" w:rsidRPr="00000000">
              <w:rPr>
                <w:rtl w:val="0"/>
              </w:rPr>
              <w:t xml:space="preserve">, sixth edition, West, 2010;</w:t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8) Suportul de curs (i.e., Garanțiile), aflat în etapa de elaborare;</w:t>
            </w:r>
          </w:p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9) R. Rizoiu,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garanții civile</w:t>
            </w:r>
            <w:r w:rsidDel="00000000" w:rsidR="00000000" w:rsidRPr="00000000">
              <w:rPr>
                <w:rtl w:val="0"/>
              </w:rPr>
              <w:t xml:space="preserve">, Hamangiu, București, 2020.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8.2. AT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Gajul comun</w:t>
            </w:r>
          </w:p>
          <w:p w:rsidR="00000000" w:rsidDel="00000000" w:rsidP="00000000" w:rsidRDefault="00000000" w:rsidRPr="00000000" w14:paraId="0000011C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al creditorilor.</w:t>
            </w:r>
          </w:p>
          <w:p w:rsidR="00000000" w:rsidDel="00000000" w:rsidP="00000000" w:rsidRDefault="00000000" w:rsidRPr="00000000" w14:paraId="0000011D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Garanţiile</w:t>
            </w:r>
          </w:p>
          <w:p w:rsidR="00000000" w:rsidDel="00000000" w:rsidP="00000000" w:rsidRDefault="00000000" w:rsidRPr="00000000" w14:paraId="0000011E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personale</w:t>
            </w:r>
          </w:p>
        </w:tc>
        <w:tc>
          <w:tcPr/>
          <w:p w:rsidR="00000000" w:rsidDel="00000000" w:rsidP="00000000" w:rsidRDefault="00000000" w:rsidRPr="00000000" w14:paraId="0000011F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Garanţiile</w:t>
            </w:r>
          </w:p>
          <w:p w:rsidR="00000000" w:rsidDel="00000000" w:rsidP="00000000" w:rsidRDefault="00000000" w:rsidRPr="00000000" w14:paraId="00000122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reale</w:t>
            </w:r>
          </w:p>
          <w:p w:rsidR="00000000" w:rsidDel="00000000" w:rsidP="00000000" w:rsidRDefault="00000000" w:rsidRPr="00000000" w14:paraId="0000012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preferenţiale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 Codul civil român;</w:t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 Codul de procedură civilă român;</w:t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 L. Pop, I.-Fl. Popa, S. I. Vidu,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drept civil. Obligațiile</w:t>
            </w:r>
            <w:r w:rsidDel="00000000" w:rsidR="00000000" w:rsidRPr="00000000">
              <w:rPr>
                <w:rtl w:val="0"/>
              </w:rPr>
              <w:t xml:space="preserve">, Universul Juridic, București, 2015;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 P. Vasilescu,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Drept civil. Obligații</w:t>
            </w:r>
            <w:r w:rsidDel="00000000" w:rsidR="00000000" w:rsidRPr="00000000">
              <w:rPr>
                <w:rtl w:val="0"/>
              </w:rPr>
              <w:t xml:space="preserve">, ediția a 2-a, Hamangiu, București, 2017;</w:t>
            </w:r>
          </w:p>
          <w:p w:rsidR="00000000" w:rsidDel="00000000" w:rsidP="00000000" w:rsidRDefault="00000000" w:rsidRPr="00000000" w14:paraId="0000012E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5) J.-L. Baudouin, Y. Renaud,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Code civil du Québec annoté</w:t>
            </w:r>
            <w:r w:rsidDel="00000000" w:rsidR="00000000" w:rsidRPr="00000000">
              <w:rPr>
                <w:rtl w:val="0"/>
              </w:rPr>
              <w:t xml:space="preserve">, tome 2, 15</w:t>
            </w:r>
            <w:r w:rsidDel="00000000" w:rsidR="00000000" w:rsidRPr="00000000">
              <w:rPr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édition, Wilson &amp; Lafleur, Montréal, 2012;</w:t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6) M. Cabrillac, Ch. Moully, S. Cabrillac, Ph. Pétel,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Droit des sûretés</w:t>
            </w:r>
            <w:r w:rsidDel="00000000" w:rsidR="00000000" w:rsidRPr="00000000">
              <w:rPr>
                <w:rtl w:val="0"/>
              </w:rPr>
              <w:t xml:space="preserve">, 9</w:t>
            </w:r>
            <w:r w:rsidDel="00000000" w:rsidR="00000000" w:rsidRPr="00000000">
              <w:rPr>
                <w:vertAlign w:val="superscript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édition, Lexis Nexis, Paris, 2010;</w:t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7) J. J. White &amp; R. S. Summers,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Uniform Commercial Code</w:t>
            </w:r>
            <w:r w:rsidDel="00000000" w:rsidR="00000000" w:rsidRPr="00000000">
              <w:rPr>
                <w:rtl w:val="0"/>
              </w:rPr>
              <w:t xml:space="preserve">, sixth edition, West, 2010;</w:t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8) Suportul de curs (i.e., Garanțiile), aflat în etapa de elaborare;</w:t>
            </w:r>
          </w:p>
          <w:p w:rsidR="00000000" w:rsidDel="00000000" w:rsidP="00000000" w:rsidRDefault="00000000" w:rsidRPr="00000000" w14:paraId="000001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9) R. Rizoiu,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garanții civile</w:t>
            </w:r>
            <w:r w:rsidDel="00000000" w:rsidR="00000000" w:rsidRPr="00000000">
              <w:rPr>
                <w:rtl w:val="0"/>
              </w:rPr>
              <w:t xml:space="preserve">, Hamangiu, București, 2020.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8.3. TC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transmitere a informaţiei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Garanţiile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reale bazate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exclusivitate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Dreptul de</w:t>
            </w:r>
          </w:p>
          <w:p w:rsidR="00000000" w:rsidDel="00000000" w:rsidP="00000000" w:rsidRDefault="00000000" w:rsidRPr="00000000" w14:paraId="0000013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retenţie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46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 Codul civil român;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 Codul de procedură civilă român;</w:t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 L. Pop, I.-Fl. Popa, S. I. Vidu,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drept civil. Obligațiile</w:t>
            </w:r>
            <w:r w:rsidDel="00000000" w:rsidR="00000000" w:rsidRPr="00000000">
              <w:rPr>
                <w:rtl w:val="0"/>
              </w:rPr>
              <w:t xml:space="preserve">, Universul Juridic, București, 2015;</w:t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 P. Vasilescu,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Drept civil. Obligații</w:t>
            </w:r>
            <w:r w:rsidDel="00000000" w:rsidR="00000000" w:rsidRPr="00000000">
              <w:rPr>
                <w:rtl w:val="0"/>
              </w:rPr>
              <w:t xml:space="preserve">, ediția a 2-a, Hamangiu, București, 2017;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5) J.-L. Baudouin, Y. Renaud,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Code civil du Québec annoté</w:t>
            </w:r>
            <w:r w:rsidDel="00000000" w:rsidR="00000000" w:rsidRPr="00000000">
              <w:rPr>
                <w:rtl w:val="0"/>
              </w:rPr>
              <w:t xml:space="preserve">, tome 2, 15</w:t>
            </w:r>
            <w:r w:rsidDel="00000000" w:rsidR="00000000" w:rsidRPr="00000000">
              <w:rPr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édition, Wilson &amp; Lafleur, Montréal, 2012;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6) M. Cabrillac, Ch. Moully, S. Cabrillac, Ph. Pétel,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Droit des sûretés</w:t>
            </w:r>
            <w:r w:rsidDel="00000000" w:rsidR="00000000" w:rsidRPr="00000000">
              <w:rPr>
                <w:rtl w:val="0"/>
              </w:rPr>
              <w:t xml:space="preserve">, 9</w:t>
            </w:r>
            <w:r w:rsidDel="00000000" w:rsidR="00000000" w:rsidRPr="00000000">
              <w:rPr>
                <w:vertAlign w:val="superscript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édition, Lexis Nexis, Paris, 2010;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7) J. J. White &amp; R. S. Summers,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Uniform Commercial Code</w:t>
            </w:r>
            <w:r w:rsidDel="00000000" w:rsidR="00000000" w:rsidRPr="00000000">
              <w:rPr>
                <w:rtl w:val="0"/>
              </w:rPr>
              <w:t xml:space="preserve">, sixth edition, West, 2010;</w:t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8) Suportul de curs (i.e., Garanțiile), aflat în etapa de elaborare;</w:t>
            </w:r>
          </w:p>
          <w:p w:rsidR="00000000" w:rsidDel="00000000" w:rsidP="00000000" w:rsidRDefault="00000000" w:rsidRPr="00000000" w14:paraId="000001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9) R. Rizoiu,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garanții civile</w:t>
            </w:r>
            <w:r w:rsidDel="00000000" w:rsidR="00000000" w:rsidRPr="00000000">
              <w:rPr>
                <w:rtl w:val="0"/>
              </w:rPr>
              <w:t xml:space="preserve">, Hamangiu, București, 2020.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8.4. AA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 Codul civil român;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 Codul de procedură civilă român;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 L. Pop, I.-Fl. Popa, S. I. Vidu,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drept civil. Obligațiile</w:t>
            </w:r>
            <w:r w:rsidDel="00000000" w:rsidR="00000000" w:rsidRPr="00000000">
              <w:rPr>
                <w:rtl w:val="0"/>
              </w:rPr>
              <w:t xml:space="preserve">, Universul Juridic, București, 2015;</w:t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 P. Vasilescu,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Drept civil. Obligații</w:t>
            </w:r>
            <w:r w:rsidDel="00000000" w:rsidR="00000000" w:rsidRPr="00000000">
              <w:rPr>
                <w:rtl w:val="0"/>
              </w:rPr>
              <w:t xml:space="preserve">, ediția a 2-a, Hamangiu, București, 2017;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5) J.-L. Baudouin, Y. Renaud,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Code civil du Québec annoté</w:t>
            </w:r>
            <w:r w:rsidDel="00000000" w:rsidR="00000000" w:rsidRPr="00000000">
              <w:rPr>
                <w:rtl w:val="0"/>
              </w:rPr>
              <w:t xml:space="preserve">, tome 2, 15</w:t>
            </w:r>
            <w:r w:rsidDel="00000000" w:rsidR="00000000" w:rsidRPr="00000000">
              <w:rPr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édition, Wilson &amp; Lafleur, Montréal, 2012;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6) M. Cabrillac, Ch. Moully, S. Cabrillac, Ph. Pétel,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Droit des sûretés</w:t>
            </w:r>
            <w:r w:rsidDel="00000000" w:rsidR="00000000" w:rsidRPr="00000000">
              <w:rPr>
                <w:rtl w:val="0"/>
              </w:rPr>
              <w:t xml:space="preserve">, 9</w:t>
            </w:r>
            <w:r w:rsidDel="00000000" w:rsidR="00000000" w:rsidRPr="00000000">
              <w:rPr>
                <w:vertAlign w:val="superscript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édition, Lexis Nexis, Paris, 2010;</w:t>
            </w:r>
          </w:p>
          <w:p w:rsidR="00000000" w:rsidDel="00000000" w:rsidP="00000000" w:rsidRDefault="00000000" w:rsidRPr="00000000" w14:paraId="00000164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7) J. J. White &amp; R. S. Summers,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Uniform Commercial Code</w:t>
            </w:r>
            <w:r w:rsidDel="00000000" w:rsidR="00000000" w:rsidRPr="00000000">
              <w:rPr>
                <w:rtl w:val="0"/>
              </w:rPr>
              <w:t xml:space="preserve">, sixth edition, West, 2010;</w:t>
            </w:r>
          </w:p>
          <w:p w:rsidR="00000000" w:rsidDel="00000000" w:rsidP="00000000" w:rsidRDefault="00000000" w:rsidRPr="00000000" w14:paraId="00000165">
            <w:pPr>
              <w:tabs>
                <w:tab w:val="left" w:leader="none" w:pos="271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8) Suportul de curs (i.e., Garanțiile), aflat în etapa de elaborare;</w:t>
            </w:r>
          </w:p>
          <w:p w:rsidR="00000000" w:rsidDel="00000000" w:rsidP="00000000" w:rsidRDefault="00000000" w:rsidRPr="00000000" w14:paraId="000001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9) R. Rizoiu,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Curs de garanții civile</w:t>
            </w:r>
            <w:r w:rsidDel="00000000" w:rsidR="00000000" w:rsidRPr="00000000">
              <w:rPr>
                <w:rtl w:val="0"/>
              </w:rPr>
              <w:t xml:space="preserve">, Hamangiu, București, 2020.</w:t>
            </w:r>
          </w:p>
        </w:tc>
      </w:tr>
    </w:tbl>
    <w:p w:rsidR="00000000" w:rsidDel="00000000" w:rsidP="00000000" w:rsidRDefault="00000000" w:rsidRPr="00000000" w14:paraId="000001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Coroborarea conţinuturilor disciplinei cu aşteptările reprezentanţilor comunităţilor epistemice, asociaţilor profesionale şi angajatori reprezentativi din domeniul aferent programului</w:t>
      </w:r>
    </w:p>
    <w:tbl>
      <w:tblPr>
        <w:tblStyle w:val="Table9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Toate elementele studiate țin cont de nevoile potențialilor angajatori.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E.g.</w:t>
            </w:r>
            <w:r w:rsidDel="00000000" w:rsidR="00000000" w:rsidRPr="00000000">
              <w:rPr>
                <w:rtl w:val="0"/>
              </w:rPr>
              <w:t xml:space="preserve">, absolventul ce își dorește să-și deruleze viața profesională în cadrul unei bănci, va beneficia de cunoștințele acumulate, pe marginea unor garanții personale (e.g., scrisoarea de garanție) și reale (e.g., ipoteca). Desigur, banca-angajator se va bucura de cunoștințele absolventului, în clipa în care acea bancă va emite o scrisoare de garanție sau se va implica într-un contract de ipotecă.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Evaluare</w:t>
      </w:r>
    </w:p>
    <w:tbl>
      <w:tblPr>
        <w:tblStyle w:val="Table10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292"/>
        <w:gridCol w:w="2835"/>
        <w:gridCol w:w="1253"/>
        <w:tblGridChange w:id="0">
          <w:tblGrid>
            <w:gridCol w:w="2520"/>
            <w:gridCol w:w="3292"/>
            <w:gridCol w:w="2835"/>
            <w:gridCol w:w="12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 activitate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10.1. Criterii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10.2. Metode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10.3. Pondere din nota finală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10.4. AI, SI</w:t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Rezolvarea unor situații factuale și argumentele, pe care se sprijină rezolvarea.</w:t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Crearea unor ipoteze factuale și adresarea de întrebări. Examen oral (Colocviu).</w:t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90%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10.5. TC / AA</w:t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Elaborarea unor referate.</w:t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Analiza referatelor create.</w:t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10.6. Standard minim de performanţă</w:t>
            </w:r>
          </w:p>
          <w:p w:rsidR="00000000" w:rsidDel="00000000" w:rsidP="00000000" w:rsidRDefault="00000000" w:rsidRPr="00000000" w14:paraId="0000017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Achiziția minimă așteptată constă în capacitatea de a trasa distincții între variatele garanții. Ocolirea confuziilor ajunge pentru ca studentul să obțină nota de promovare.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11. Etichete ODD (Obiective de Dezvoltare Durabilă / Sustainable Development Goals)</w:t>
      </w:r>
      <w:r w:rsidDel="00000000" w:rsidR="00000000" w:rsidRPr="00000000">
        <w:rPr>
          <w:rtl w:val="0"/>
        </w:rPr>
      </w:r>
    </w:p>
    <w:tbl>
      <w:tblPr>
        <w:tblStyle w:val="Table11"/>
        <w:tblW w:w="10491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  <w:tblGridChange w:id="0">
          <w:tblGrid>
            <w:gridCol w:w="1165"/>
            <w:gridCol w:w="1166"/>
            <w:gridCol w:w="1166"/>
            <w:gridCol w:w="1165"/>
            <w:gridCol w:w="1166"/>
            <w:gridCol w:w="1166"/>
            <w:gridCol w:w="1165"/>
            <w:gridCol w:w="1166"/>
            <w:gridCol w:w="1166"/>
          </w:tblGrid>
        </w:tblGridChange>
      </w:tblGrid>
      <w:tr>
        <w:trPr>
          <w:cantSplit w:val="0"/>
          <w:trHeight w:val="10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Eticheta generală pentru Dezvoltare durabilă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ind w:right="-537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</w:rPr>
              <w:drawing>
                <wp:inline distB="0" distT="0" distL="0" distR="0">
                  <wp:extent cx="600710" cy="611505"/>
                  <wp:effectExtent b="0" l="0" r="0" t="0"/>
                  <wp:docPr descr="O imagine care conține text, siglă, roșu, Font&#10;&#10;Descriere generată automat" id="2" name="image2.png"/>
                  <a:graphic>
                    <a:graphicData uri="http://schemas.openxmlformats.org/drawingml/2006/picture">
                      <pic:pic>
                        <pic:nvPicPr>
                          <pic:cNvPr descr="O imagine care conține text, siglă, roșu, Font&#10;&#10;Descriere generată automat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</w:rPr>
              <w:drawing>
                <wp:inline distB="0" distT="0" distL="0" distR="0">
                  <wp:extent cx="613410" cy="611505"/>
                  <wp:effectExtent b="0" l="0" r="0" t="0"/>
                  <wp:docPr descr="O imagine care conține pasăre, text, proiectare&#10;&#10;Descriere generată automat" id="1" name="image1.png"/>
                  <a:graphic>
                    <a:graphicData uri="http://schemas.openxmlformats.org/drawingml/2006/picture">
                      <pic:pic>
                        <pic:nvPicPr>
                          <pic:cNvPr descr="O imagine care conține pasăre, text, proiectare&#10;&#10;Descriere generată automat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tbl>
      <w:tblPr>
        <w:tblStyle w:val="Table12"/>
        <w:tblW w:w="9900.0" w:type="dxa"/>
        <w:jc w:val="left"/>
        <w:tblInd w:w="108.0" w:type="dxa"/>
        <w:tblLayout w:type="fixed"/>
        <w:tblLook w:val="0000"/>
      </w:tblPr>
      <w:tblGrid>
        <w:gridCol w:w="2019"/>
        <w:gridCol w:w="4281"/>
        <w:gridCol w:w="3600"/>
        <w:tblGridChange w:id="0">
          <w:tblGrid>
            <w:gridCol w:w="2019"/>
            <w:gridCol w:w="4281"/>
            <w:gridCol w:w="3600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Coordonator de disciplină</w:t>
            </w:r>
          </w:p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Lect. dr. Adrian Tamba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Tutore de disciplină/</w:t>
            </w:r>
          </w:p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Lect. dr. Adrian Tamba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A5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       14.10.2025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Responsabil de studii ID/IFR,</w:t>
            </w:r>
          </w:p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Lect. dr. Adrian Tamba</w:t>
            </w:r>
          </w:p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sectPr>
      <w:headerReference r:id="rId9" w:type="even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101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854" w:right="-625" w:hanging="72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360" w:hanging="36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120" w:line="360" w:lineRule="auto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F5C86"/>
    <w:rPr>
      <w:rFonts w:ascii="Times New Roman" w:cs="Times New Roman" w:eastAsia="Times New Roman" w:hAnsi="Times New Roman"/>
      <w:b w:val="1"/>
      <w:sz w:val="24"/>
      <w:szCs w:val="20"/>
      <w:lang w:eastAsia="zh-CN" w:val="en-AU"/>
    </w:rPr>
  </w:style>
  <w:style w:type="character" w:styleId="Heading2Char" w:customStyle="1">
    <w:name w:val="Heading 2 Char"/>
    <w:basedOn w:val="DefaultParagraphFont"/>
    <w:link w:val="Heading2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character" w:styleId="Heading5Char" w:customStyle="1">
    <w:name w:val="Heading 5 Char"/>
    <w:basedOn w:val="DefaultParagraphFont"/>
    <w:link w:val="Heading5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styleId="BodyText2Char" w:customStyle="1">
    <w:name w:val="Body Text 2 Char"/>
    <w:basedOn w:val="DefaultParagraphFont"/>
    <w:link w:val="BodyText2"/>
    <w:rsid w:val="00DF5C86"/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styleId="HeaderChar" w:customStyle="1">
    <w:name w:val="Header Char"/>
    <w:basedOn w:val="DefaultParagraphFont"/>
    <w:link w:val="Header"/>
    <w:rsid w:val="00DF5C86"/>
    <w:rPr>
      <w:rFonts w:ascii="Times New Roman" w:cs="Times New Roman" w:eastAsia="Times New Roman" w:hAnsi="Times New Roman"/>
      <w:sz w:val="20"/>
      <w:szCs w:val="20"/>
      <w:lang w:eastAsia="zh-CN" w:val="en-AU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DF5C86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5C8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5C86"/>
    <w:rPr>
      <w:rFonts w:ascii="Segoe UI" w:cs="Segoe UI" w:eastAsia="Times New Roman" w:hAnsi="Segoe UI"/>
      <w:sz w:val="18"/>
      <w:szCs w:val="18"/>
      <w:lang w:eastAsia="zh-CN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53BC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53BC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53B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53BC"/>
    <w:rPr>
      <w:rFonts w:ascii="Times New Roman" w:cs="Times New Roman" w:eastAsia="Times New Roman" w:hAnsi="Times New Roman"/>
      <w:b w:val="1"/>
      <w:bCs w:val="1"/>
      <w:sz w:val="20"/>
      <w:szCs w:val="20"/>
      <w:lang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13DClwZuYe4pl5KODTmXdydDQ==">CgMxLjA4AHIhMXJ6aWxjZ0ZCWnhNLXRVNnlMSVNpcERWQUhjWmtKSEtO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2025-12-22T10:20:00Z</dcterms:created>
  <dc:creator>Windows User</dc:creator>
</cp:coreProperties>
</file>