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120" w:lineRule="auto"/>
        <w:ind w:firstLine="56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FIŞA DISCIPLINEI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Date despre program</w:t>
      </w:r>
    </w:p>
    <w:tbl>
      <w:tblPr>
        <w:tblStyle w:val="Table1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6498"/>
        <w:tblGridChange w:id="0">
          <w:tblGrid>
            <w:gridCol w:w="3402"/>
            <w:gridCol w:w="6498"/>
          </w:tblGrid>
        </w:tblGridChange>
      </w:tblGrid>
      <w:tr>
        <w:trPr>
          <w:cantSplit w:val="0"/>
          <w:trHeight w:val="9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ind w:left="34" w:firstLine="1134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1.1. Instituţia de învăţământ superior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Universitatea Babeș-Bolyai din Cluj Napoca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5"/>
              <w:spacing w:before="0" w:line="240" w:lineRule="auto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1.2. Facultatea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1"/>
              <w:ind w:left="34" w:firstLine="1134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1.3. Departamentul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 Public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1.4.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Domeniul de studii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Drept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34" w:firstLine="0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1.5.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Ciclul de studii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Licență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2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1.6. Programul de studii / Calificarea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Style w:val="Heading1"/>
              <w:ind w:left="90" w:firstLine="1134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Studii universitare/Jurist</w:t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ind w:left="34" w:firstLine="0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1.7. Forma de învăţământ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jc w:val="left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Învățământ la distanță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2. Date despre disciplină 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  <w:tblGridChange w:id="0">
          <w:tblGrid>
            <w:gridCol w:w="1447"/>
            <w:gridCol w:w="708"/>
            <w:gridCol w:w="75"/>
            <w:gridCol w:w="1201"/>
            <w:gridCol w:w="567"/>
            <w:gridCol w:w="500"/>
            <w:gridCol w:w="1343"/>
            <w:gridCol w:w="709"/>
            <w:gridCol w:w="283"/>
            <w:gridCol w:w="992"/>
            <w:gridCol w:w="541"/>
            <w:gridCol w:w="735"/>
            <w:gridCol w:w="79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2.1. Denumirea disciplinei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Criminologie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Codul disciplinei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DLR2244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2.2. Titularul activităţilor de curs – Coordonatorul de disciplină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Prof.  dr. Sergiu Bogdan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2.3. Titularul activităţilor de seminar / laborator / proiect – tutorele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Prof.  dr. Sergiu Bogdan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2.4. Anul de studiu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E">
            <w:pPr>
              <w:ind w:right="-203"/>
              <w:rPr/>
            </w:pPr>
            <w:r w:rsidDel="00000000" w:rsidR="00000000" w:rsidRPr="00000000">
              <w:rPr>
                <w:rtl w:val="0"/>
              </w:rPr>
              <w:t xml:space="preserve">2.5. Semestrul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1">
            <w:pPr>
              <w:ind w:right="-288"/>
              <w:rPr/>
            </w:pPr>
            <w:r w:rsidDel="00000000" w:rsidR="00000000" w:rsidRPr="00000000">
              <w:rPr>
                <w:rtl w:val="0"/>
              </w:rPr>
              <w:t xml:space="preserve">2.6. Tipul </w:t>
            </w:r>
          </w:p>
          <w:p w:rsidR="00000000" w:rsidDel="00000000" w:rsidP="00000000" w:rsidRDefault="00000000" w:rsidRPr="00000000" w14:paraId="00000042">
            <w:pPr>
              <w:ind w:right="-288"/>
              <w:rPr/>
            </w:pPr>
            <w:r w:rsidDel="00000000" w:rsidR="00000000" w:rsidRPr="00000000">
              <w:rPr>
                <w:rtl w:val="0"/>
              </w:rPr>
              <w:t xml:space="preserve">de evaluare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5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2.7. Regimul disciplinei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Conţinut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Felul disciplinei</w:t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Obligativitate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Obligatorie/</w:t>
            </w:r>
          </w:p>
          <w:p w:rsidR="00000000" w:rsidDel="00000000" w:rsidP="00000000" w:rsidRDefault="00000000" w:rsidRPr="00000000" w14:paraId="0000005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opțională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Timpul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estimat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(ore pe semestru al activităţilor didactice)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5"/>
        <w:gridCol w:w="450"/>
        <w:gridCol w:w="90"/>
        <w:gridCol w:w="1350"/>
        <w:gridCol w:w="630"/>
        <w:gridCol w:w="1890"/>
        <w:gridCol w:w="450"/>
        <w:gridCol w:w="2610"/>
        <w:gridCol w:w="540"/>
        <w:tblGridChange w:id="0">
          <w:tblGrid>
            <w:gridCol w:w="1885"/>
            <w:gridCol w:w="450"/>
            <w:gridCol w:w="90"/>
            <w:gridCol w:w="1350"/>
            <w:gridCol w:w="630"/>
            <w:gridCol w:w="1890"/>
            <w:gridCol w:w="450"/>
            <w:gridCol w:w="2610"/>
            <w:gridCol w:w="540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3.1. Număr de ore pe săptămână – forma cu frecvenţă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din care: 3.2. curs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Style w:val="Heading2"/>
              <w:ind w:left="360" w:hanging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Style w:val="Heading2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3.3. seminar/ laborator/ proiect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3.4. Total ore pe semestru – forma Învățământ la distanță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din care: 3.5.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AI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3.6. AT (4 ore) + TC ( 10 ore) + AA ( 0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Distribuţia fondului de timp pentru studiul individual (SI) și activități de autoinstruire (AI)</w:t>
            </w:r>
          </w:p>
          <w:p w:rsidR="00000000" w:rsidDel="00000000" w:rsidP="00000000" w:rsidRDefault="00000000" w:rsidRPr="00000000" w14:paraId="00000077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 ore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3.5.1. Studiul după manual, suport de curs, bibliografie şi notiţe (AI)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9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3.5.2. Documentare suplimentară în bibliotecă, pe platformele electronice de specialitate şi pe teren</w:t>
            </w:r>
          </w:p>
        </w:tc>
        <w:tc>
          <w:tcPr/>
          <w:p w:rsidR="00000000" w:rsidDel="00000000" w:rsidP="00000000" w:rsidRDefault="00000000" w:rsidRPr="00000000" w14:paraId="00000091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2">
            <w:pPr>
              <w:pStyle w:val="Heading2"/>
              <w:rPr>
                <w:b w:val="0"/>
                <w:bCs w:val="0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3.5.3. Pregătire seminare/ laboratoare/ proiecte, teme, referate, portofolii şi eseuri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B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3.5.4.Tutoriat (consiliere profesională)</w:t>
            </w:r>
          </w:p>
        </w:tc>
        <w:tc>
          <w:tcPr/>
          <w:p w:rsidR="00000000" w:rsidDel="00000000" w:rsidP="00000000" w:rsidRDefault="00000000" w:rsidRPr="00000000" w14:paraId="000000A3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3.5.5.Examinări</w:t>
            </w:r>
          </w:p>
        </w:tc>
        <w:tc>
          <w:tcPr/>
          <w:p w:rsidR="00000000" w:rsidDel="00000000" w:rsidP="00000000" w:rsidRDefault="00000000" w:rsidRPr="00000000" w14:paraId="000000AC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AD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3.5.6. Alte activităţi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Style w:val="Heading2"/>
              <w:jc w:val="center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3.7. Total ore studiu individual (SI) și activități de autoinstruire (AI)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pStyle w:val="Heading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3.8. Total ore pe semestru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pStyle w:val="Heading2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3.9. Numărul de credite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BF">
      <w:pPr>
        <w:ind w:right="-874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b w:val="1"/>
          <w:bCs w:val="1"/>
          <w:rtl w:val="0"/>
        </w:rPr>
        <w:t xml:space="preserve">4. Precondiţii </w:t>
      </w:r>
      <w:r w:rsidDel="00000000" w:rsidR="00000000" w:rsidRPr="00000000">
        <w:rPr>
          <w:rtl w:val="0"/>
        </w:rPr>
        <w:t xml:space="preserve">(acolo unde este cazul)</w:t>
      </w:r>
    </w:p>
    <w:tbl>
      <w:tblPr>
        <w:tblStyle w:val="Table4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920"/>
        <w:tblGridChange w:id="0">
          <w:tblGrid>
            <w:gridCol w:w="1980"/>
            <w:gridCol w:w="7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4.1. de curriculum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ind w:left="72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4.2. de competenţe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left="72" w:firstLine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C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bCs w:val="1"/>
          <w:rtl w:val="0"/>
        </w:rPr>
        <w:t xml:space="preserve">5. Condiţii </w:t>
      </w:r>
      <w:r w:rsidDel="00000000" w:rsidR="00000000" w:rsidRPr="00000000">
        <w:rPr>
          <w:rtl w:val="0"/>
        </w:rPr>
        <w:t xml:space="preserve">(acolo unde este cazul)</w:t>
      </w:r>
    </w:p>
    <w:tbl>
      <w:tblPr>
        <w:tblStyle w:val="Table5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6923"/>
        <w:tblGridChange w:id="0">
          <w:tblGrid>
            <w:gridCol w:w="2977"/>
            <w:gridCol w:w="6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5.1. de desfăşurare a cursului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5.2. de desfăşurare a seminarului/ laboratorului/ proiectului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Competenţe specifice acumulate</w:t>
      </w:r>
    </w:p>
    <w:tbl>
      <w:tblPr>
        <w:tblStyle w:val="Table6"/>
        <w:tblW w:w="1923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333"/>
        <w:gridCol w:w="9333"/>
        <w:tblGridChange w:id="0">
          <w:tblGrid>
            <w:gridCol w:w="567"/>
            <w:gridCol w:w="9333"/>
            <w:gridCol w:w="9333"/>
          </w:tblGrid>
        </w:tblGridChange>
      </w:tblGrid>
      <w:tr>
        <w:trPr>
          <w:cantSplit w:val="1"/>
          <w:trHeight w:val="1332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Competenţe profesionale</w:t>
            </w:r>
          </w:p>
        </w:tc>
        <w:tc>
          <w:tcPr/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Cunoaștere și înțelegere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4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Cunoaște și înțelege conținutul limbajului de specialitate; </w:t>
            </w:r>
          </w:p>
          <w:p w:rsidR="00000000" w:rsidDel="00000000" w:rsidP="00000000" w:rsidRDefault="00000000" w:rsidRPr="00000000" w14:paraId="000000D2">
            <w:pPr>
              <w:ind w:left="4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Cunoaște și întelege noțiunile cu care operează cercetarea criminologică, respectiv de ”Crimă”; ”Criminal”; ”Explicații biologice, explicații psihologice și explicații sociologice ale comportamentului infracțional”;”Sancțiuni”.</w:t>
            </w:r>
          </w:p>
          <w:p w:rsidR="00000000" w:rsidDel="00000000" w:rsidP="00000000" w:rsidRDefault="00000000" w:rsidRPr="00000000" w14:paraId="000000D3">
            <w:pPr>
              <w:ind w:left="41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414" w:firstLine="0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2. Explicare, interpretare și aplicare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4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Prezintă și utilizează în mod adecvat cunoștințele dobândite în analiza elementului subiectiv al unei infracțiuni;</w:t>
            </w:r>
          </w:p>
          <w:p w:rsidR="00000000" w:rsidDel="00000000" w:rsidP="00000000" w:rsidRDefault="00000000" w:rsidRPr="00000000" w14:paraId="000000D6">
            <w:pPr>
              <w:ind w:left="41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Întelege argumentele ce pot fi aduse în sprijinul unei sancțiuni adecvate applicate unui infractor 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3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Competenţe transversale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- Abilitatea de a analiza în mod critic politica penală a unui stat.</w:t>
            </w:r>
          </w:p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Competențe de analiză, prezentare și de aplicare, în scris și oral, a unor probleme legate de posibile modificări ale politicilor penale ale unui stat.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- Competența de a propune soluții adecvate de politică penală cu privire la conduite antisociale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- Capacitatea de a prezenta în mod clar și fluent, oral şi în scris, conceptele studiate;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b w:val="1"/>
          <w:bCs w:val="1"/>
          <w:rtl w:val="0"/>
        </w:rPr>
        <w:t xml:space="preserve">7. Obiectivele disciplinei </w:t>
      </w:r>
      <w:r w:rsidDel="00000000" w:rsidR="00000000" w:rsidRPr="00000000">
        <w:rPr>
          <w:rtl w:val="0"/>
        </w:rPr>
        <w:t xml:space="preserve">(reieşind din grila competenţelor specifice acumulate)</w:t>
      </w:r>
    </w:p>
    <w:tbl>
      <w:tblPr>
        <w:tblStyle w:val="Table7"/>
        <w:tblW w:w="1657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673"/>
        <w:gridCol w:w="6673"/>
        <w:tblGridChange w:id="0">
          <w:tblGrid>
            <w:gridCol w:w="3227"/>
            <w:gridCol w:w="6673"/>
            <w:gridCol w:w="6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7.1. Obiectivul general al disciplinei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Cunoașterea de către studenții a  motivelor pentru care o persoană se implică într-o conduită infracțională</w:t>
            </w:r>
          </w:p>
          <w:p w:rsidR="00000000" w:rsidDel="00000000" w:rsidP="00000000" w:rsidRDefault="00000000" w:rsidRPr="00000000" w14:paraId="000000E4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7.2. Obiectivele specifice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Familiarizarea cu principale școli criminologice tradiţionale</w:t>
            </w:r>
          </w:p>
          <w:p w:rsidR="00000000" w:rsidDel="00000000" w:rsidP="00000000" w:rsidRDefault="00000000" w:rsidRPr="00000000" w14:paraId="000000E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Cunoaşterea şi înţelegerea noilor direcţii si metode de cercetare criminologică</w:t>
            </w:r>
          </w:p>
          <w:p w:rsidR="00000000" w:rsidDel="00000000" w:rsidP="00000000" w:rsidRDefault="00000000" w:rsidRPr="00000000" w14:paraId="000000E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 Dezvoltarea capacităţii de analiza a unui comportament criminal.</w:t>
            </w:r>
          </w:p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 Cunoaşterea realităţii fenomenului criminal românesc și european.</w:t>
            </w:r>
          </w:p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Dobândirea unei abilităţi în înţelegerea modului in care se individualizează o sancţiune penală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- Formarea abilităţii de a utiliza cunoştinţe criminologice în elaborarea unui cadru normativ , în inţelegerea cadrului normativ penal existent sau in practica judiciară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Conţinuturi</w:t>
      </w:r>
    </w:p>
    <w:tbl>
      <w:tblPr>
        <w:tblStyle w:val="Table8"/>
        <w:tblW w:w="140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2552"/>
        <w:gridCol w:w="2562"/>
        <w:gridCol w:w="2078"/>
        <w:gridCol w:w="2078"/>
        <w:tblGridChange w:id="0">
          <w:tblGrid>
            <w:gridCol w:w="4786"/>
            <w:gridCol w:w="2552"/>
            <w:gridCol w:w="2562"/>
            <w:gridCol w:w="2078"/>
            <w:gridCol w:w="20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8.1. AI, SI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1.Noţiuni generale despre criminologie (definiţie, ramuri, obiect, metode de cercetare criminologice)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C. Beccaria.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Criminologia etiologica. Explicaţii biologice.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4. Criminologia etiologica . Explicaţii psihologice.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Criminologia etiologica . Explicaţii  sociologice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 Criminologia judiciara. Sancţiuni penale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Delincventa juvenila, criminalitatea feminine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  Criminalitatea legata de droguri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 Criminalitatea organizata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 Evaziunea fiscală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b w:val="1"/>
                <w:bCs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 Criminologia victimologică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ind w:left="34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 Factori victimogeni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ind w:left="34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 Prevenirea criminalităţii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ind w:left="34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 Studiu practic al unui fenomen criminal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142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82"/>
              </w:tabs>
              <w:spacing w:after="0" w:before="96" w:line="298" w:lineRule="auto"/>
              <w:ind w:left="0" w:right="0" w:firstLine="451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Adler, F., Mueller, G.O.W.; Laufer, W.S.,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Criminology,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II, Ed. McGraw-Hill, New York, 1995.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Bălan, A. Criminalitatea feminină, Ed. C.H. Beck, Bucureşti, 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2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Banciu, D.; Rădulescu, S.M.,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Evoluţii ale delincventei juvenile în România. Cercetare şi prevenire socială,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Lumina Lex, Bucureşti,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Beccaria, C,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Despre infracţiuni şi pedepse,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Rosetti, Bucureşti, 2001 sau ediții ulterioare.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Bogdan, S, Curs de criminologie, Ed. Universul juridic, București, 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Cario, R.,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mediation penale. Entre represion ei reparation,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L'Harmattman, Montreal, 1997.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Chan, W.; Rigakos, G.,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Risk, crime and gender,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British Journal of Criminologie,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Cioclei, V.,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 de 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All Beck, Bucureşti, 1998.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Desdevises, M.-C,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risques des standards penologiques,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 'individualisation de la peine, De Saleilles a aujourd'hui,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Eres, Paris, 2001.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Favard, A.-M.,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 'individualisation de la peine: paradigme clinique a la realite des pratiques,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 'individualisation de la peine, De Saleilles a aujourd'hui,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Eres, Paris, 2001.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Hauptmann, W. Drogenpolitik ohne Strafrecht? Ed. Osterreich, Viena, 2000, p. 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Gassin, R.,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IV, Ed. Dalloz, Paris, 1998.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6"/>
              </w:tabs>
              <w:spacing w:after="0" w:before="14" w:line="28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Lopez, G.,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Victimologie,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Dalloz, Paris, 1997.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10" w:line="288" w:lineRule="auto"/>
              <w:ind w:left="0" w:right="0" w:firstLine="451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Negrier-Dormont, L.,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Litec, Paris,1992.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Oancea, I.,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Probleme de 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All, Bucureşti, 1998.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Poenaru, 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Pedeapsa cu moartea. „Pro" sau „contra",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Lumina Lex, Bucureşti, 2000.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Pop, T.,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 de 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Arte Grafice Ardealul, Cluj, 1928. Sau reeditarea UJ din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Rădulescu, S.M.,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Devianţă, criminalitate şi patologie socială,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Lumina Lex, Bucureşti, 1999.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Salleiles, R.,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L'individualisation de la peine,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F. Alean, Paris, 1898.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Schneider, H. J.,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III, Ed. C.H. Beck, Munchen, 1992.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Schwind, H.-D.,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Kriminologie: Eine praxisorientierte Einfuhrung mit Beispielen,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XII, Ed. Kriminalistik. Heidelberg,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Sellin, T.,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Conflits de culture et criminalite,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Pedone, Paris, 1984.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Smith, D. J.; Mc Vie, S.,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Theory and method in the Edinburg study on youth transitions and crime,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British Journal of Criminologie, 2003.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</w:t>
              <w:tab/>
              <w:t xml:space="preserve">Ursa, V.,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Criminologie. Curs.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Cluj-Napoca. 1994.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8.3. TC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transmitere a informaţiei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Cauzele accidentelor de circulatie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Eficienta unei sancțiuni penale între mit si realitate</w:t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82"/>
              </w:tabs>
              <w:spacing w:after="0" w:before="96" w:line="298" w:lineRule="auto"/>
              <w:ind w:left="0" w:right="0" w:firstLine="451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Adler, F., Mueller, G.O.W.; Laufer, W.S.,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Criminology,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II, Ed. McGraw-Hill, New York, 1995.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Bălan, A. Criminalitatea feminină, Ed. C.H. Beck, Bucureşti, 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2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Banciu, D.; Rădulescu, S.M.,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Evoluţii ale delincventei juvenile în România. Cercetare şi prevenire socială,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Lumina Lex, Bucureşti,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Beccaria, C,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Despre infracţiuni şi pedepse,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Rosetti, Bucureşti, 2001 sau ediții ulterioare.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Bogdan, S, Curs de criminologie, Ed. Universul juridic, București, 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Cario, R.,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mediation penale. Entre represion ei reparation,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L'Harmattman, Montreal, 1997.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Chan, W.; Rigakos, G.,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Risk, crime and gender,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British Journal of Criminologie,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5"/>
              </w:tabs>
              <w:spacing w:after="0" w:before="0" w:line="29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Cioclei, V.,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 de 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All Beck, Bucureşti, 1998.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Desdevises, M.-C,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risques des standards penologiques,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 'individualisation de la peine, De Saleilles a aujourd'hui,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Eres, Paris, 2001.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Favard, A.-M.,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 'individualisation de la peine: paradigme clinique a la realite des pratiques,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 'individualisation de la peine, De Saleilles a aujourd'hui,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Eres, Paris, 2001.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Hauptmann, W. Drogenpolitik ohne Strafrecht? Ed. Osterreich, Viena, 2000, p. 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9"/>
              </w:tabs>
              <w:spacing w:after="0" w:before="0" w:line="298" w:lineRule="auto"/>
              <w:ind w:left="456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Gassin, R.,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IV, Ed. Dalloz, Paris, 1998.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6"/>
              </w:tabs>
              <w:spacing w:after="0" w:before="14" w:line="288" w:lineRule="auto"/>
              <w:ind w:left="47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Lopez, G.,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Victimologie,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Dalloz, Paris, 1997.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10" w:line="288" w:lineRule="auto"/>
              <w:ind w:left="0" w:right="0" w:firstLine="451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Negrier-Dormont, L.,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Litec, Paris,1992.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0" w:right="0" w:firstLine="40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Oancea, I.,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Probleme de 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All, Bucureşti, 1998.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Poenaru, 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Pedeapsa cu moartea. „Pro" sau „contra",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Lumina Lex, Bucureşti, 2000.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Pop, T.,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 de Criminologie,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Arte Grafice Ardealul, Cluj, 1928. Sau reeditarea UJ din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Rădulescu, S.M.,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Devianţă, criminalitate şi patologie socială,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Lumina Lex, Bucureşti, 1999.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Salleiles, R.,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L'individualisation de la peine,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F. Alean, Paris, 1898.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Schneider, H. J.,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Kriminologie,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III, Ed. C.H. Beck, Munchen, 1992.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Schwind, H.-D.,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Kriminologie: Eine praxisorientierte Einfuhrung mit Beispielen,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XII, Ed. Kriminalistik. Heidelberg,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Sellin, T.,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Conflits de culture et criminalite,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Pedone, Paris, 1984.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</w:tabs>
              <w:spacing w:after="0" w:before="0" w:line="288" w:lineRule="auto"/>
              <w:ind w:left="42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Smith, D. J.; Mc Vie, S.,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Theory and method in the Edinburg study on youth transitions and crime,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în British Journal of Criminologie, 2003.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8.4. AA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Metode de predare-învăţare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Coroborarea conţinuturilor disciplinei cu aşteptările reprezentanţilor comunităţilor epistemice, asociaţilor profesionale şi angajatori reprezentativi din domeniul aferent programului</w:t>
      </w:r>
    </w:p>
    <w:tbl>
      <w:tblPr>
        <w:tblStyle w:val="Table9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Toate elementele studiate țin cont de nevoile potențialilor angajatori.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E.g.</w:t>
            </w:r>
            <w:r w:rsidDel="00000000" w:rsidR="00000000" w:rsidRPr="00000000">
              <w:rPr>
                <w:rtl w:val="0"/>
              </w:rPr>
              <w:t xml:space="preserve">, absolventul ce își dorește să-și deruleze viața profesională în cadrul unei bănci, va beneficia de cunoștințele acumulate, pe marginea unor garanții personale (e.g., scrisoarea de garanție) și reale (e.g., ipoteca). Desigur, banca-angajator se va bucura de cunoștințele absolventului, în clipa în care acea bancă va emite o scrisoare de garanție sau se va implica într-un contract de ipotecă.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Evaluare</w:t>
      </w:r>
    </w:p>
    <w:tbl>
      <w:tblPr>
        <w:tblStyle w:val="Table10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3292"/>
        <w:gridCol w:w="2835"/>
        <w:gridCol w:w="1253"/>
        <w:tblGridChange w:id="0">
          <w:tblGrid>
            <w:gridCol w:w="2520"/>
            <w:gridCol w:w="3292"/>
            <w:gridCol w:w="2835"/>
            <w:gridCol w:w="12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Tip activitate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10.1. Criterii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10.2. Metode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10.3. Pondere din nota finală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10.4. AI, SI</w:t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 Examen grila</w:t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Examen grila format din 20 de întrebări tip grilă cu 3 posibile variate de răspuns</w:t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10.5. TC / AA</w:t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8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10.6. Standard minim de performanţă</w:t>
            </w:r>
          </w:p>
          <w:p w:rsidR="00000000" w:rsidDel="00000000" w:rsidP="00000000" w:rsidRDefault="00000000" w:rsidRPr="00000000" w14:paraId="0000018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Achiziția minimă așteptată constă în capacitatea de a trasa distincții între variatele garanții. Ocolirea confuziilor ajunge pentru ca studentul să obțină nota de promovare.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tbl>
      <w:tblPr>
        <w:tblStyle w:val="Table11"/>
        <w:tblW w:w="9900.0" w:type="dxa"/>
        <w:jc w:val="left"/>
        <w:tblInd w:w="108.0" w:type="dxa"/>
        <w:tblLayout w:type="fixed"/>
        <w:tblLook w:val="0000"/>
      </w:tblPr>
      <w:tblGrid>
        <w:gridCol w:w="2019"/>
        <w:gridCol w:w="4281"/>
        <w:gridCol w:w="3600"/>
        <w:tblGridChange w:id="0">
          <w:tblGrid>
            <w:gridCol w:w="2019"/>
            <w:gridCol w:w="4281"/>
            <w:gridCol w:w="3600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Coordonator de disciplină</w:t>
            </w:r>
          </w:p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Prof.  dr. Sergiu Bogdan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Tutore de disciplină/</w:t>
            </w:r>
          </w:p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Prof.  dr. Sergiu Bogdan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9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       06.01.2026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Responsabil de studii ID/IFR,</w:t>
            </w:r>
          </w:p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854" w:right="-625" w:hanging="720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360" w:hanging="36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120" w:line="360" w:lineRule="auto"/>
    </w:pPr>
    <w:rPr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character" w:styleId="Titlu1Caracter" w:customStyle="1">
    <w:name w:val="Titlu 1 Caracter"/>
    <w:basedOn w:val="Fontdeparagrafimplicit"/>
    <w:link w:val="Titlu1"/>
    <w:rsid w:val="00DF5C86"/>
    <w:rPr>
      <w:rFonts w:ascii="Times New Roman" w:cs="Times New Roman" w:eastAsia="Times New Roman" w:hAnsi="Times New Roman"/>
      <w:b w:val="1"/>
      <w:sz w:val="24"/>
      <w:szCs w:val="20"/>
      <w:lang w:eastAsia="zh-CN" w:val="en-AU"/>
    </w:rPr>
  </w:style>
  <w:style w:type="character" w:styleId="Titlu2Caracter" w:customStyle="1">
    <w:name w:val="Titlu 2 Caracter"/>
    <w:basedOn w:val="Fontdeparagrafimplicit"/>
    <w:link w:val="Titlu2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character" w:styleId="Titlu5Caracter" w:customStyle="1">
    <w:name w:val="Titlu 5 Caracter"/>
    <w:basedOn w:val="Fontdeparagrafimplicit"/>
    <w:link w:val="Titlu5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paragraph" w:styleId="Corptext2">
    <w:name w:val="Body Text 2"/>
    <w:basedOn w:val="Normal"/>
    <w:link w:val="Corptext2Caracter"/>
    <w:rsid w:val="00DF5C86"/>
    <w:pPr>
      <w:ind w:right="-766"/>
      <w:jc w:val="both"/>
    </w:pPr>
    <w:rPr>
      <w:sz w:val="24"/>
      <w:lang w:val="ro-RO"/>
    </w:rPr>
  </w:style>
  <w:style w:type="character" w:styleId="Corptext2Caracter" w:customStyle="1">
    <w:name w:val="Corp text 2 Caracter"/>
    <w:basedOn w:val="Fontdeparagrafimplicit"/>
    <w:link w:val="Corptext2"/>
    <w:rsid w:val="00DF5C86"/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Numrdepagin">
    <w:name w:val="page number"/>
    <w:basedOn w:val="Fontdeparagrafimplicit"/>
    <w:rsid w:val="00DF5C86"/>
  </w:style>
  <w:style w:type="paragraph" w:styleId="Antet">
    <w:name w:val="header"/>
    <w:basedOn w:val="Normal"/>
    <w:link w:val="AntetCaracte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styleId="AntetCaracter" w:customStyle="1">
    <w:name w:val="Antet Caracter"/>
    <w:basedOn w:val="Fontdeparagrafimplicit"/>
    <w:link w:val="Antet"/>
    <w:rsid w:val="00DF5C86"/>
    <w:rPr>
      <w:rFonts w:ascii="Times New Roman" w:cs="Times New Roman" w:eastAsia="Times New Roman" w:hAnsi="Times New Roman"/>
      <w:sz w:val="20"/>
      <w:szCs w:val="20"/>
      <w:lang w:eastAsia="zh-CN" w:val="en-AU"/>
    </w:rPr>
  </w:style>
  <w:style w:type="paragraph" w:styleId="Subsol">
    <w:name w:val="footer"/>
    <w:basedOn w:val="Normal"/>
    <w:link w:val="SubsolCaracter"/>
    <w:rsid w:val="00DF5C86"/>
    <w:pPr>
      <w:tabs>
        <w:tab w:val="center" w:pos="4320"/>
        <w:tab w:val="right" w:pos="8640"/>
      </w:tabs>
    </w:pPr>
  </w:style>
  <w:style w:type="character" w:styleId="SubsolCaracter" w:customStyle="1">
    <w:name w:val="Subsol Caracter"/>
    <w:basedOn w:val="Fontdeparagrafimplicit"/>
    <w:link w:val="Subsol"/>
    <w:rsid w:val="00DF5C86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DF5C86"/>
    <w:rPr>
      <w:rFonts w:ascii="Segoe UI" w:cs="Segoe UI" w:hAnsi="Segoe UI"/>
      <w:sz w:val="18"/>
      <w:szCs w:val="18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DF5C86"/>
    <w:rPr>
      <w:rFonts w:ascii="Segoe UI" w:cs="Segoe UI" w:eastAsia="Times New Roman" w:hAnsi="Segoe UI"/>
      <w:sz w:val="18"/>
      <w:szCs w:val="18"/>
      <w:lang w:eastAsia="zh-CN" w:val="en-US"/>
    </w:rPr>
  </w:style>
  <w:style w:type="character" w:styleId="Referincomentariu">
    <w:name w:val="annotation reference"/>
    <w:basedOn w:val="Fontdeparagrafimplicit"/>
    <w:uiPriority w:val="99"/>
    <w:semiHidden w:val="1"/>
    <w:unhideWhenUsed w:val="1"/>
    <w:rsid w:val="002C53B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 w:val="1"/>
    <w:unhideWhenUsed w:val="1"/>
    <w:rsid w:val="002C53BC"/>
  </w:style>
  <w:style w:type="character" w:styleId="TextcomentariuCaracter" w:customStyle="1">
    <w:name w:val="Text comentariu Caracter"/>
    <w:basedOn w:val="Fontdeparagrafimplicit"/>
    <w:link w:val="Textcomentariu"/>
    <w:uiPriority w:val="99"/>
    <w:semiHidden w:val="1"/>
    <w:rsid w:val="002C53BC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 w:val="1"/>
    <w:unhideWhenUsed w:val="1"/>
    <w:rsid w:val="002C53BC"/>
    <w:rPr>
      <w:b w:val="1"/>
      <w:bCs w:val="1"/>
    </w:rPr>
  </w:style>
  <w:style w:type="character" w:styleId="SubiectComentariuCaracter" w:customStyle="1">
    <w:name w:val="Subiect Comentariu Caracter"/>
    <w:basedOn w:val="TextcomentariuCaracter"/>
    <w:link w:val="SubiectComentariu"/>
    <w:uiPriority w:val="99"/>
    <w:semiHidden w:val="1"/>
    <w:rsid w:val="002C53BC"/>
    <w:rPr>
      <w:rFonts w:ascii="Times New Roman" w:cs="Times New Roman" w:eastAsia="Times New Roman" w:hAnsi="Times New Roman"/>
      <w:b w:val="1"/>
      <w:bCs w:val="1"/>
      <w:sz w:val="20"/>
      <w:szCs w:val="20"/>
      <w:lang w:eastAsia="zh-CN" w:val="en-US"/>
    </w:rPr>
  </w:style>
  <w:style w:type="character" w:styleId="FontStyle198" w:customStyle="1">
    <w:name w:val="Font Style198"/>
    <w:rsid w:val="001237B8"/>
    <w:rPr>
      <w:rFonts w:ascii="Times New Roman" w:cs="Times New Roman" w:hAnsi="Times New Roman"/>
      <w:i w:val="1"/>
      <w:iCs w:val="1"/>
      <w:sz w:val="22"/>
      <w:szCs w:val="22"/>
    </w:rPr>
  </w:style>
  <w:style w:type="character" w:styleId="FontStyle199" w:customStyle="1">
    <w:name w:val="Font Style199"/>
    <w:rsid w:val="001237B8"/>
    <w:rPr>
      <w:rFonts w:ascii="Times New Roman" w:cs="Times New Roman" w:hAnsi="Times New Roman"/>
      <w:sz w:val="22"/>
      <w:szCs w:val="22"/>
    </w:rPr>
  </w:style>
  <w:style w:type="paragraph" w:styleId="TableContents" w:customStyle="1">
    <w:name w:val="Table Contents"/>
    <w:basedOn w:val="Normal"/>
    <w:rsid w:val="001237B8"/>
    <w:pPr>
      <w:widowControl w:val="0"/>
      <w:suppressLineNumbers w:val="1"/>
      <w:suppressAutoHyphens w:val="1"/>
    </w:pPr>
    <w:rPr>
      <w:rFonts w:cs="Mangal" w:eastAsia="SimSun"/>
      <w:kern w:val="2"/>
      <w:sz w:val="24"/>
      <w:szCs w:val="24"/>
      <w:lang w:bidi="hi-IN" w:val="ro-RO"/>
    </w:rPr>
  </w:style>
  <w:style w:type="paragraph" w:styleId="Style43" w:customStyle="1">
    <w:name w:val="Style43"/>
    <w:basedOn w:val="Normal"/>
    <w:rsid w:val="001237B8"/>
    <w:pPr>
      <w:widowControl w:val="0"/>
      <w:suppressAutoHyphens w:val="1"/>
      <w:autoSpaceDE w:val="0"/>
      <w:spacing w:line="289" w:lineRule="exact"/>
      <w:ind w:firstLine="408"/>
      <w:jc w:val="both"/>
    </w:pPr>
    <w:rPr>
      <w:rFonts w:ascii="Arial" w:cs="Arial" w:hAnsi="Arial"/>
      <w:sz w:val="24"/>
      <w:szCs w:val="24"/>
    </w:rPr>
  </w:style>
  <w:style w:type="paragraph" w:styleId="Style57" w:customStyle="1">
    <w:name w:val="Style57"/>
    <w:basedOn w:val="Normal"/>
    <w:rsid w:val="001237B8"/>
    <w:pPr>
      <w:widowControl w:val="0"/>
      <w:suppressAutoHyphens w:val="1"/>
      <w:autoSpaceDE w:val="0"/>
      <w:spacing w:line="283" w:lineRule="exact"/>
      <w:ind w:firstLine="427"/>
      <w:jc w:val="both"/>
    </w:pPr>
    <w:rPr>
      <w:rFonts w:ascii="Arial" w:cs="Arial" w:hAnsi="Arial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91qyXe6K3rNfveFvJT5IIPfGw==">CgMxLjA4AHIhMTZzbnNZQmt5dmxMbmVOckNXMjd5LUhwRG12MVNkX2R3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2026-01-06T12:01:00Z</dcterms:created>
  <dc:creator>Windows User</dc:creator>
</cp:coreProperties>
</file>