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20" w:lineRule="auto"/>
        <w:ind w:left="360" w:hanging="360"/>
        <w:rPr>
          <w:b w:val="0"/>
          <w:bCs w:val="0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b w:val="0"/>
          <w:bCs w:val="0"/>
          <w:i w:val="1"/>
          <w:iCs w:val="1"/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120" w:lineRule="auto"/>
        <w:ind w:firstLine="56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FIŞA DISCIPLINEI</w:t>
      </w:r>
    </w:p>
    <w:p w:rsidR="00000000" w:rsidDel="00000000" w:rsidP="00000000" w:rsidRDefault="00000000" w:rsidRPr="00000000" w14:paraId="00000004">
      <w:pPr>
        <w:pStyle w:val="Heading2"/>
        <w:spacing w:after="120" w:lineRule="auto"/>
        <w:rPr>
          <w:b w:val="0"/>
          <w:bCs w:val="0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Date despre program</w:t>
      </w:r>
    </w:p>
    <w:tbl>
      <w:tblPr>
        <w:tblStyle w:val="Table1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6498"/>
        <w:tblGridChange w:id="0">
          <w:tblGrid>
            <w:gridCol w:w="3402"/>
            <w:gridCol w:w="6498"/>
          </w:tblGrid>
        </w:tblGridChange>
      </w:tblGrid>
      <w:tr>
        <w:trPr>
          <w:cantSplit w:val="0"/>
          <w:trHeight w:val="9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1"/>
              <w:ind w:left="34" w:firstLine="1134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1.1. Instituţia de învăţământ superior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Universitatea Babeș-Bolyai din Cluj Napoca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Heading5"/>
              <w:spacing w:before="0" w:line="240" w:lineRule="auto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1.2. Facultatea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Drept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ind w:left="34" w:firstLine="1134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1.3. Departamentul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Drept Privat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1.4.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Domeniul de studii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Științe juridice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34" w:firstLine="0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1.5.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Ciclul de studii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Licență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1.6. Programul de studii / Calificarea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1.7. Forma de învăţământ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Învățământ la distanță</w:t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2. Date despre disciplină 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  <w:tblGridChange w:id="0">
          <w:tblGrid>
            <w:gridCol w:w="1447"/>
            <w:gridCol w:w="708"/>
            <w:gridCol w:w="75"/>
            <w:gridCol w:w="1201"/>
            <w:gridCol w:w="567"/>
            <w:gridCol w:w="500"/>
            <w:gridCol w:w="1343"/>
            <w:gridCol w:w="709"/>
            <w:gridCol w:w="283"/>
            <w:gridCol w:w="992"/>
            <w:gridCol w:w="541"/>
            <w:gridCol w:w="735"/>
            <w:gridCol w:w="79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2.1. Denumirea disciplinei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DREPT PRIVAT ROMAN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Codul disciplinei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DLR1103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4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2.2. Titularul activităţilor de curs – Coordonatorul de disciplină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prof.dr. Mircea-Dan Bob-Bocșan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1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2.3. Titularul activităţilor de seminar / laborator / proiect – tutorele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prof.dr. Mircea-Dan Bob-Bocșan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E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2.4. Anul de studiu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0">
            <w:pPr>
              <w:ind w:right="-203"/>
              <w:rPr/>
            </w:pPr>
            <w:r w:rsidDel="00000000" w:rsidR="00000000" w:rsidRPr="00000000">
              <w:rPr>
                <w:rtl w:val="0"/>
              </w:rPr>
              <w:t xml:space="preserve">2.5. Semestrul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3">
            <w:pPr>
              <w:ind w:right="-288"/>
              <w:rPr/>
            </w:pPr>
            <w:r w:rsidDel="00000000" w:rsidR="00000000" w:rsidRPr="00000000">
              <w:rPr>
                <w:rtl w:val="0"/>
              </w:rPr>
              <w:t xml:space="preserve">2.6. Tipul </w:t>
            </w:r>
          </w:p>
          <w:p w:rsidR="00000000" w:rsidDel="00000000" w:rsidP="00000000" w:rsidRDefault="00000000" w:rsidRPr="00000000" w14:paraId="00000044">
            <w:pPr>
              <w:ind w:right="-288"/>
              <w:rPr/>
            </w:pPr>
            <w:r w:rsidDel="00000000" w:rsidR="00000000" w:rsidRPr="00000000">
              <w:rPr>
                <w:rtl w:val="0"/>
              </w:rPr>
              <w:t xml:space="preserve">de evaluare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7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2.7. Regimul disciplinei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Conţinut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Felul disciplinei</w:t>
            </w:r>
          </w:p>
          <w:p w:rsidR="00000000" w:rsidDel="00000000" w:rsidP="00000000" w:rsidRDefault="00000000" w:rsidRPr="00000000" w14:paraId="000000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DF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Obligativitate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Obligatorie/</w:t>
            </w:r>
          </w:p>
          <w:p w:rsidR="00000000" w:rsidDel="00000000" w:rsidP="00000000" w:rsidRDefault="00000000" w:rsidRPr="00000000" w14:paraId="0000005A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opțională</w:t>
            </w:r>
          </w:p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Timpul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estimat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(ore pe semestru al activităţilor didactice)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"/>
        <w:tblW w:w="10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555"/>
        <w:gridCol w:w="105"/>
        <w:gridCol w:w="1260"/>
        <w:gridCol w:w="540"/>
        <w:gridCol w:w="2070"/>
        <w:gridCol w:w="450"/>
        <w:gridCol w:w="2400"/>
        <w:gridCol w:w="945"/>
        <w:tblGridChange w:id="0">
          <w:tblGrid>
            <w:gridCol w:w="1785"/>
            <w:gridCol w:w="555"/>
            <w:gridCol w:w="105"/>
            <w:gridCol w:w="1260"/>
            <w:gridCol w:w="540"/>
            <w:gridCol w:w="2070"/>
            <w:gridCol w:w="450"/>
            <w:gridCol w:w="2400"/>
            <w:gridCol w:w="945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3.1. Număr de ore pe săptămână – forma cu frecvenţă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din care: 3.2. curs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Style w:val="Heading2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Style w:val="Heading2"/>
              <w:ind w:left="360" w:hanging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Style w:val="Heading2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3.3. seminar/ laborator/ proiect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3.4. Total ore pe semestru – forma Învățământ la distanță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din care: 3.5.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AI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3.6. AT(4 ore) + TC(10 ore) + 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Distribuţia fondului de timp pentru studiul individual (SI) și activități de autoinstruire (AI)</w:t>
            </w:r>
          </w:p>
          <w:p w:rsidR="00000000" w:rsidDel="00000000" w:rsidP="00000000" w:rsidRDefault="00000000" w:rsidRPr="00000000" w14:paraId="00000077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3.5.1. Studiul după manual, suport de curs, bibliografie şi notiţe (AI)                                                    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Style w:val="Heading2"/>
              <w:ind w:left="1416"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9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3.5.2. Documentare suplimentară în bibliotecă, pe platformele electronice de specialitate şi pe teren</w:t>
            </w:r>
          </w:p>
        </w:tc>
        <w:tc>
          <w:tcPr/>
          <w:p w:rsidR="00000000" w:rsidDel="00000000" w:rsidP="00000000" w:rsidRDefault="00000000" w:rsidRPr="00000000" w14:paraId="00000091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2">
            <w:pPr>
              <w:pStyle w:val="Heading2"/>
              <w:rPr>
                <w:b w:val="0"/>
                <w:bCs w:val="0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3.5.3. Pregătire seminare/ laboratoare/ proiecte, teme, referate, portofolii şi eseuri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B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3.5.4.Tutoriat (consiliere profesională)</w:t>
            </w:r>
          </w:p>
        </w:tc>
        <w:tc>
          <w:tcPr/>
          <w:p w:rsidR="00000000" w:rsidDel="00000000" w:rsidP="00000000" w:rsidRDefault="00000000" w:rsidRPr="00000000" w14:paraId="000000A3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4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3.5.5.Examinări</w:t>
            </w:r>
          </w:p>
        </w:tc>
        <w:tc>
          <w:tcPr/>
          <w:p w:rsidR="00000000" w:rsidDel="00000000" w:rsidP="00000000" w:rsidRDefault="00000000" w:rsidRPr="00000000" w14:paraId="000000AC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D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3.5.6. Alte activităţi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3.7. Total ore studiu individual (SI) și activități de autoinstruire (AI)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3.8. Total ore pe semestru 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(număr ECTS x 25 de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pStyle w:val="Heading2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3.9. Numărul de credite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BF">
      <w:pPr>
        <w:ind w:right="-874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b w:val="1"/>
          <w:bCs w:val="1"/>
          <w:rtl w:val="0"/>
        </w:rPr>
        <w:t xml:space="preserve">4. Precondiţii </w:t>
      </w:r>
      <w:r w:rsidDel="00000000" w:rsidR="00000000" w:rsidRPr="00000000">
        <w:rPr>
          <w:rtl w:val="0"/>
        </w:rPr>
        <w:t xml:space="preserve">(acolo unde este cazul)</w:t>
      </w:r>
    </w:p>
    <w:tbl>
      <w:tblPr>
        <w:tblStyle w:val="Table4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920"/>
        <w:tblGridChange w:id="0">
          <w:tblGrid>
            <w:gridCol w:w="1980"/>
            <w:gridCol w:w="7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4.1. de curriculum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ind w:left="72" w:firstLine="0"/>
              <w:rPr/>
            </w:pPr>
            <w:r w:rsidDel="00000000" w:rsidR="00000000" w:rsidRPr="00000000">
              <w:rPr>
                <w:rtl w:val="0"/>
              </w:rPr>
              <w:t xml:space="preserve">Nu este cazul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4.2. de competenţe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left="72" w:firstLine="0"/>
              <w:rPr/>
            </w:pPr>
            <w:r w:rsidDel="00000000" w:rsidR="00000000" w:rsidRPr="00000000">
              <w:rPr>
                <w:rtl w:val="0"/>
              </w:rPr>
              <w:t xml:space="preserve">Nu este cazul</w:t>
            </w:r>
          </w:p>
        </w:tc>
      </w:tr>
    </w:tbl>
    <w:p w:rsidR="00000000" w:rsidDel="00000000" w:rsidP="00000000" w:rsidRDefault="00000000" w:rsidRPr="00000000" w14:paraId="000000C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b w:val="1"/>
          <w:bCs w:val="1"/>
          <w:rtl w:val="0"/>
        </w:rPr>
        <w:t xml:space="preserve">5. Condiţii </w:t>
      </w:r>
      <w:r w:rsidDel="00000000" w:rsidR="00000000" w:rsidRPr="00000000">
        <w:rPr>
          <w:rtl w:val="0"/>
        </w:rPr>
        <w:t xml:space="preserve">(acolo unde este cazul)</w:t>
      </w:r>
    </w:p>
    <w:tbl>
      <w:tblPr>
        <w:tblStyle w:val="Table5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6923"/>
        <w:tblGridChange w:id="0">
          <w:tblGrid>
            <w:gridCol w:w="2977"/>
            <w:gridCol w:w="6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5.1. de desfăşurare a cursului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Platforma eLearning a UBB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5.2. de desfăşurare a seminarului/ laboratorului/ proiectului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Platforma eLearning a UBB</w:t>
            </w:r>
          </w:p>
        </w:tc>
      </w:tr>
    </w:tbl>
    <w:p w:rsidR="00000000" w:rsidDel="00000000" w:rsidP="00000000" w:rsidRDefault="00000000" w:rsidRPr="00000000" w14:paraId="000000C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Competenţe specifice acumulate</w:t>
      </w:r>
    </w:p>
    <w:tbl>
      <w:tblPr>
        <w:tblStyle w:val="Table6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333"/>
        <w:tblGridChange w:id="0">
          <w:tblGrid>
            <w:gridCol w:w="567"/>
            <w:gridCol w:w="9333"/>
          </w:tblGrid>
        </w:tblGridChange>
      </w:tblGrid>
      <w:tr>
        <w:trPr>
          <w:cantSplit w:val="1"/>
          <w:trHeight w:val="1332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Competenţe profesionale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- dobândirea unei perspective evolutive asupra instituţiilor de drept, pornind de la faptul că dreptul a fost şi este o realitate în mişcare;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- materie propedeutică, care serveşte la obişnuirea cu vocabularul de specialitate şi cu modul de raţionare specific domeniului;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- învăţarea manierei de abordare a cazurilor practice, pe baza studierii textelor jurisconsulţilor conţinând speţe.</w:t>
            </w:r>
          </w:p>
        </w:tc>
      </w:tr>
      <w:tr>
        <w:trPr>
          <w:cantSplit w:val="1"/>
          <w:trHeight w:val="1403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Competenţe transversale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- dezvoltarea abilităţilor de studiu individual, sinteză şi analiză; 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- organizarea autonomiei învăţării, dezvoltarea spiritului de iniţiativă şi a capacităţii de asumare a responsabilităţilor;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- evoluţia abilităţii abilităţi de lucru în echipă şi a comunicării în echipă / public, în formă orală şi scrisă: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- respectarea şi dezvoltarea valorilor şi eticii profesionale;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- dezvoltarea competenţelor de utilizare a infrastructurii IT (baze de date, situri internet specializate)</w:t>
            </w:r>
          </w:p>
        </w:tc>
      </w:tr>
    </w:tbl>
    <w:p w:rsidR="00000000" w:rsidDel="00000000" w:rsidP="00000000" w:rsidRDefault="00000000" w:rsidRPr="00000000" w14:paraId="000000D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b w:val="1"/>
          <w:bCs w:val="1"/>
          <w:rtl w:val="0"/>
        </w:rPr>
        <w:t xml:space="preserve">7. Obiectivele disciplinei </w:t>
      </w:r>
      <w:r w:rsidDel="00000000" w:rsidR="00000000" w:rsidRPr="00000000">
        <w:rPr>
          <w:rtl w:val="0"/>
        </w:rPr>
        <w:t xml:space="preserve">(reieşind din grila competenţelor specifice acumulate)</w:t>
      </w:r>
    </w:p>
    <w:tbl>
      <w:tblPr>
        <w:tblStyle w:val="Table7"/>
        <w:tblW w:w="1657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6673"/>
        <w:gridCol w:w="6673"/>
        <w:tblGridChange w:id="0">
          <w:tblGrid>
            <w:gridCol w:w="3227"/>
            <w:gridCol w:w="6673"/>
            <w:gridCol w:w="6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7.1. Obiectivul general al disciplinei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Familiarizarea introductivă a studentului cu esenţa şi sensul domeniului juridic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[se preiau identic din FD pentru Învățământul cu frecvență]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7.2. Obiectivele specifice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- iniţierea în vocabularul de specialitate;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- deprinderea modului de raţionare specific branşei;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- familiarizarea cu modul de prezentare, ordonare şi rezolvare a unei speţe;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- dobândirea unei perspective evolutive asupra instituţiilor juridice.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[se preiau identic din FD pentru Învățământul cu frecvență]</w:t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Conţinuturi</w:t>
      </w:r>
    </w:p>
    <w:tbl>
      <w:tblPr>
        <w:tblStyle w:val="Table8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2552"/>
        <w:gridCol w:w="2562"/>
        <w:tblGridChange w:id="0">
          <w:tblGrid>
            <w:gridCol w:w="4786"/>
            <w:gridCol w:w="2552"/>
            <w:gridCol w:w="2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8.1. AI, SI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predare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Curs 1: Cu ce ne ocupăm la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Dreptul Roman? Introducere și câteva exemple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Practice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10% din timpul aferent 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Curs 2: Izvoarele dreptului roman. Procedura de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judecată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15% din timpul aferent 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Curs 3: Persoanele şi bunurile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20% din timpul aferent 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Curs 4: Obligaţii şi contracte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30% din timpul aferent 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Curs 5: Surse de obligaţii extracontractuale şi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Succesiuni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25% din timpul aferent 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Curs 6: Controlul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A. minimală obligatorie</w:t>
            </w:r>
          </w:p>
          <w:p w:rsidR="00000000" w:rsidDel="00000000" w:rsidP="00000000" w:rsidRDefault="00000000" w:rsidRPr="00000000" w14:paraId="000001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Mircea Dan Bob, Manual elementar de drept privat roman, ed. a 3-a, Universul juridic, București, 2022</w:t>
            </w:r>
          </w:p>
          <w:p w:rsidR="00000000" w:rsidDel="00000000" w:rsidP="00000000" w:rsidRDefault="00000000" w:rsidRPr="00000000" w14:paraId="000001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Syllabus de Drept Roman – pentru uzul studenţilor de la ID (încărcat pe platforma eLearning)</w:t>
            </w:r>
          </w:p>
          <w:p w:rsidR="00000000" w:rsidDel="00000000" w:rsidP="00000000" w:rsidRDefault="00000000" w:rsidRPr="00000000" w14:paraId="000001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*** Instituțiile lui Iustinian, traducere și note Vladimir Hanga, Mircea Dan Bob,  ediția a 2-a, Universul</w:t>
            </w:r>
          </w:p>
          <w:p w:rsidR="00000000" w:rsidDel="00000000" w:rsidP="00000000" w:rsidRDefault="00000000" w:rsidRPr="00000000" w14:paraId="000001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juridic, București, 2009</w:t>
            </w:r>
          </w:p>
          <w:p w:rsidR="00000000" w:rsidDel="00000000" w:rsidP="00000000" w:rsidRDefault="00000000" w:rsidRPr="00000000" w14:paraId="000001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*** Instituțiile lui Gaius, traducere și note Aurel Popescu, Editura Academiei, București, 1982</w:t>
            </w:r>
          </w:p>
          <w:p w:rsidR="00000000" w:rsidDel="00000000" w:rsidP="00000000" w:rsidRDefault="00000000" w:rsidRPr="00000000" w14:paraId="000001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Fustel de Coulanges, Cetatea antică, traducere Mioara și Pan Izverna, Meridiane, București, 1984, vol. I</w:t>
            </w:r>
          </w:p>
          <w:p w:rsidR="00000000" w:rsidDel="00000000" w:rsidP="00000000" w:rsidRDefault="00000000" w:rsidRPr="00000000" w14:paraId="000001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Vladimir Hanga, Adagii juridice latinești, Lumina lex, București, 2007</w:t>
            </w:r>
          </w:p>
          <w:p w:rsidR="00000000" w:rsidDel="00000000" w:rsidP="00000000" w:rsidRDefault="00000000" w:rsidRPr="00000000" w14:paraId="000001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B. alternativă</w:t>
            </w:r>
          </w:p>
          <w:p w:rsidR="00000000" w:rsidDel="00000000" w:rsidP="00000000" w:rsidRDefault="00000000" w:rsidRPr="00000000" w14:paraId="000001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*** Digestele lui Iustinian. Prima carte, trad. Teodor Sâmbrian, Oana Sâmbrian-Toma, Sitech, Craiova, 2009</w:t>
            </w:r>
          </w:p>
          <w:p w:rsidR="00000000" w:rsidDel="00000000" w:rsidP="00000000" w:rsidRDefault="00000000" w:rsidRPr="00000000" w14:paraId="000001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Mircea Dan Bob, Obligația contractuală în dreptul roman, cu trimiteri comparative la codul civil, Universul juridic,</w:t>
            </w:r>
          </w:p>
          <w:p w:rsidR="00000000" w:rsidDel="00000000" w:rsidP="00000000" w:rsidRDefault="00000000" w:rsidRPr="00000000" w14:paraId="000001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București, 2015</w:t>
            </w:r>
          </w:p>
          <w:p w:rsidR="00000000" w:rsidDel="00000000" w:rsidP="00000000" w:rsidRDefault="00000000" w:rsidRPr="00000000" w14:paraId="000001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Cristinel Murzea, S.-D. Șchiopu, Anamaria Bianov, Crestomație de texte juridice latine, Romprint, 2006</w:t>
            </w:r>
          </w:p>
          <w:p w:rsidR="00000000" w:rsidDel="00000000" w:rsidP="00000000" w:rsidRDefault="00000000" w:rsidRPr="00000000" w14:paraId="000001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Valerius Ciucă, Drept roman. Lecțiuni, 2 vol., Ed. Univ. Al.I. Cuza din Iași, 2014</w:t>
            </w:r>
          </w:p>
          <w:p w:rsidR="00000000" w:rsidDel="00000000" w:rsidP="00000000" w:rsidRDefault="00000000" w:rsidRPr="00000000" w14:paraId="000001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Mihai Vasile Jakotă, Drept privat roman, Chemarea, Iași, 1998</w:t>
            </w:r>
          </w:p>
          <w:p w:rsidR="00000000" w:rsidDel="00000000" w:rsidP="00000000" w:rsidRDefault="00000000" w:rsidRPr="00000000" w14:paraId="000001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 Oancea, Introducere în dreptul roman, C.H.Beck, București, 2009</w:t>
            </w:r>
          </w:p>
          <w:p w:rsidR="00000000" w:rsidDel="00000000" w:rsidP="00000000" w:rsidRDefault="00000000" w:rsidRPr="00000000" w14:paraId="000001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Emil Molcuț, Drept privat roman, Universul juridic, București, 2011</w:t>
            </w:r>
          </w:p>
          <w:p w:rsidR="00000000" w:rsidDel="00000000" w:rsidP="00000000" w:rsidRDefault="00000000" w:rsidRPr="00000000" w14:paraId="000001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Teodor Sâmbrian, Instituții de drept roman, Sitech, Craiova, 2009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8.2. 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predare-învăţare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Cu ce ne ocupăm la Dreptul Roman? Introducere și câteva exemple practice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Tutorial nr. 1</w:t>
            </w:r>
          </w:p>
          <w:p w:rsidR="00000000" w:rsidDel="00000000" w:rsidP="00000000" w:rsidRDefault="00000000" w:rsidRPr="00000000" w14:paraId="00000122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Prelegere interactivă. Dezbatere. Problematizare. Studiu de texte conţinând speţe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Accentul se pune permanent pe implicarea activă a studenţilor în discuţii, rolul profesorului fiind acela de partener şi coordonator al acestora.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Izvoarele dreptului roman. Procedura de judecată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AT online nr. 2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Prelegere interactivă. Dezbatere. Problematizare. Studiu de texte conţinând speţe</w:t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Persoanele și Bunurile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AT online nr. 3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Prelegere interactivă. Dezbatere. Problematizare. Studiu de texte conţinând speţe</w:t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Succesiuni. Obligații</w:t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Tutorial online nr. 4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Prelegere interactivă. Dezbatere. Problematizare. Studiu de texte conţinând speţe</w:t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Contracte. Obligații extracontractuale</w:t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Tutorial online nr. 5</w:t>
            </w:r>
          </w:p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Prelegere interactivă. Dezbatere. Problematizare. Studiu de texte conţinând speţe</w:t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Recapitulare 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AT online nr. 6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Sesiune Q&amp;A</w:t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Bibliografie: v. 8.1.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8.3. 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transmitere a informaţiei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Răspundeți la una din următoarele întrebări (la alegere):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Primus, cetățean dac, a fost lovit grav de Secundus, cetățean roman, pe când se afla la Roma. Poate Primus să ceară pretorului, în faza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iudicio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o acțiune bazată delictul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damnum iniuria datum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(paguba pricinuită pe nedrept)?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Maevius a fost născut de mama sa, Flavia, la cinci luni după decesul tatălui său, Titius. Poate Maevius să pretindă ceva în moștenirea lui Titius? Poate Maevius să o moștenească Flavia, împreună cu copiii acesteia dintr-o căsătorie ulterioară?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cetățean roman are un conflict cu un cetățean atenian. Ce li se aplică: Legea celor XII Table sau cutumele locale?</w:t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Platforma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MS Teams</w:t>
            </w:r>
            <w:r w:rsidDel="00000000" w:rsidR="00000000" w:rsidRPr="00000000">
              <w:rPr>
                <w:rtl w:val="0"/>
              </w:rPr>
              <w:t xml:space="preserve"> a UBB. Informaţie oferită şi la primul tutorial online.</w:t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Se acordă un punct pentru rezolvarea corectă, care face parte din nota finală.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dă textul: Gaius III.90-91. Alegeți una dintre afirmațiile de mai jos și argumentați valoarea ei de adevăr: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în text se menționează una dintre clasificările lucrurilor, făcută pe criteriul voinței părților, după cum aceasta a fost exprimată în contract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contractul din text dă naștere unei obligație de tip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(a da), datorită naturii bunurilor care îi constituie obiectul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textul se referă la o soluție specifică dreptului postclasic, care făcea distincție între contractul de împrumut și contractul de plată nedatorată.</w:t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Platforma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MS Teams</w:t>
            </w:r>
            <w:r w:rsidDel="00000000" w:rsidR="00000000" w:rsidRPr="00000000">
              <w:rPr>
                <w:rtl w:val="0"/>
              </w:rPr>
              <w:t xml:space="preserve"> a UBB. Informaţie oferită şi la primul tutorial online.</w:t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Se acordă un punct pentru rezolvarea corectă, care face parte din nota finală.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dă textul: Inst. 4.6.30. Argumentați, la alegere, valoarea de adevăr a uneia dintre următoarele afirmații: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Textul are în vedere procedura legis-acțiunilor, unde judecătorul putea să sancționeze pe cel care, cu rea-credință, vânduse un sclav bolnav, pretinzând că ar fi fost sănătos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Textul se referă la acțiunile pe care pretorul, în dreptul clasic, le putea da cumpărătorului, dacă acesta cumpărase un sclav bolnav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Textul se referă la noțiunea de bună-credință, aplicabilă categoriei contractelor reale, precum sunt vânzarea, sau locațiunea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Platforma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MS Teams</w:t>
            </w:r>
            <w:r w:rsidDel="00000000" w:rsidR="00000000" w:rsidRPr="00000000">
              <w:rPr>
                <w:rtl w:val="0"/>
              </w:rPr>
              <w:t xml:space="preserve"> a UBB. Informaţie oferită şi la primul tutorial online.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Se acordă un punct pentru rezolvarea corectă, care face parte din nota finală.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Bibliografie: v. 8.1.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8.4. 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predare-învăţare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Bibliografie:</w:t>
            </w:r>
          </w:p>
        </w:tc>
      </w:tr>
    </w:tbl>
    <w:p w:rsidR="00000000" w:rsidDel="00000000" w:rsidP="00000000" w:rsidRDefault="00000000" w:rsidRPr="00000000" w14:paraId="000001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Coroborarea conţinuturilor disciplinei cu aşteptările reprezentanţilor comunităţilor epistemice, asociaţilor profesionale şi angajatori reprezentativi din domeniul aferent programului</w:t>
      </w:r>
    </w:p>
    <w:tbl>
      <w:tblPr>
        <w:tblStyle w:val="Table9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finalul studierii Dreptului Roman, studentul:</w:t>
            </w:r>
          </w:p>
          <w:p w:rsidR="00000000" w:rsidDel="00000000" w:rsidP="00000000" w:rsidRDefault="00000000" w:rsidRPr="00000000" w14:paraId="000001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dispune de informația istorică indispensabilă unei adecvate înțelegeri a dreptului privat pozitiv;</w:t>
            </w:r>
          </w:p>
          <w:p w:rsidR="00000000" w:rsidDel="00000000" w:rsidP="00000000" w:rsidRDefault="00000000" w:rsidRPr="00000000" w14:paraId="000001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 deprins modul general de abordare şi raționare în faţa unui caz practic;</w:t>
            </w:r>
          </w:p>
          <w:p w:rsidR="00000000" w:rsidDel="00000000" w:rsidP="00000000" w:rsidRDefault="00000000" w:rsidRPr="00000000" w14:paraId="0000016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- a dobândit o viziune dinamică asupra regulii de drept şi a aplicării concrete a acesteia.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Evaluare</w:t>
      </w:r>
    </w:p>
    <w:tbl>
      <w:tblPr>
        <w:tblStyle w:val="Table10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3292"/>
        <w:gridCol w:w="2835"/>
        <w:gridCol w:w="1253"/>
        <w:tblGridChange w:id="0">
          <w:tblGrid>
            <w:gridCol w:w="2520"/>
            <w:gridCol w:w="3292"/>
            <w:gridCol w:w="2835"/>
            <w:gridCol w:w="12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Tip activitate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10.1. Criterii de 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10.2. Metode de 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10.3. Pondere din nota finală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10.4. AI, SI</w:t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Nivelul de cunoaștere şi înțelegere a materiei. Capacitatea de a utiliza în mod adecvat conceptele studiate</w:t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Examen scris tip grilă, cu enunțuri formulate pornind de la texte de Drept Roman, din bibliografia. Textele sunt de tipul celor comentate la cursul vorbit și în cel tipărit.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Studenții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trebuie să aibă obligatoriu</w:t>
            </w:r>
            <w:r w:rsidDel="00000000" w:rsidR="00000000" w:rsidRPr="00000000">
              <w:rPr>
                <w:rtl w:val="0"/>
              </w:rPr>
              <w:t xml:space="preserve"> asupra lor Instituțiile lui Gaius și ale lui Iustinian.</w:t>
            </w:r>
          </w:p>
        </w:tc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70%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10.5. TC / AA</w:t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Modul de abordare şi de rezolvare a temelor de control (referatelor) propuse.</w:t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Se acordă trei puncte pentru temele de control</w:t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7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10.6. Standard minim de performanță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Nota finală minim 5 (cinci), cu un punct acordat din oficiu. Notarea se efectuează de la 1 la 10. Teoretic, rezolvarea corectă a celor trei teme de control și rezolvarea corectă a două grile din cele șase de la examenul final constituie nivelul minim satisfăcător de cunoștințe, necesare pentru promovare.</w:t>
            </w:r>
          </w:p>
        </w:tc>
      </w:tr>
    </w:tbl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tbl>
      <w:tblPr>
        <w:tblStyle w:val="Table11"/>
        <w:tblW w:w="9900.0" w:type="dxa"/>
        <w:jc w:val="left"/>
        <w:tblInd w:w="108.0" w:type="dxa"/>
        <w:tblLayout w:type="fixed"/>
        <w:tblLook w:val="0000"/>
      </w:tblPr>
      <w:tblGrid>
        <w:gridCol w:w="2019"/>
        <w:gridCol w:w="4281"/>
        <w:gridCol w:w="3600"/>
        <w:tblGridChange w:id="0">
          <w:tblGrid>
            <w:gridCol w:w="2019"/>
            <w:gridCol w:w="4281"/>
            <w:gridCol w:w="3600"/>
          </w:tblGrid>
        </w:tblGridChange>
      </w:tblGrid>
      <w:tr>
        <w:trPr>
          <w:cantSplit w:val="0"/>
          <w:trHeight w:val="9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Coordonator de disciplină</w:t>
            </w:r>
          </w:p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Prof.univ.dr</w:t>
              </w:r>
            </w:hyperlink>
            <w:r w:rsidDel="00000000" w:rsidR="00000000" w:rsidRPr="00000000">
              <w:rPr>
                <w:rtl w:val="0"/>
              </w:rPr>
              <w:t xml:space="preserve">. Mircea Bob-Bocșan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Tutore de disciplină/</w:t>
            </w:r>
          </w:p>
          <w:p w:rsidR="00000000" w:rsidDel="00000000" w:rsidP="00000000" w:rsidRDefault="00000000" w:rsidRPr="00000000" w14:paraId="0000017D">
            <w:pPr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Prof.univ.dr</w:t>
              </w:r>
            </w:hyperlink>
            <w:r w:rsidDel="00000000" w:rsidR="00000000" w:rsidRPr="00000000">
              <w:rPr>
                <w:rtl w:val="0"/>
              </w:rPr>
              <w:t xml:space="preserve">. Mircea Bob-Bocșan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17F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10.10.2025.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Responsabil de studii ID/IFR,</w:t>
            </w:r>
          </w:p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Lector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univ.dr</w:t>
              </w:r>
            </w:hyperlink>
            <w:r w:rsidDel="00000000" w:rsidR="00000000" w:rsidRPr="00000000">
              <w:rPr>
                <w:rtl w:val="0"/>
              </w:rPr>
              <w:t xml:space="preserve">. Adrian Tamba</w:t>
            </w:r>
          </w:p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sectPr>
      <w:headerReference r:id="rId10" w:type="even"/>
      <w:footerReference r:id="rId11" w:type="defaul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854" w:right="-625" w:hanging="720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360" w:hanging="360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120" w:line="360" w:lineRule="auto"/>
    </w:pPr>
    <w:rPr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DF5C86"/>
    <w:rPr>
      <w:rFonts w:ascii="Times New Roman" w:cs="Times New Roman" w:eastAsia="Times New Roman" w:hAnsi="Times New Roman"/>
      <w:b w:val="1"/>
      <w:sz w:val="24"/>
      <w:szCs w:val="20"/>
      <w:lang w:eastAsia="zh-CN" w:val="en-AU"/>
    </w:rPr>
  </w:style>
  <w:style w:type="character" w:styleId="Heading2Char" w:customStyle="1">
    <w:name w:val="Heading 2 Char"/>
    <w:basedOn w:val="DefaultParagraphFont"/>
    <w:link w:val="Heading2"/>
    <w:rsid w:val="00DF5C86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character" w:styleId="Heading5Char" w:customStyle="1">
    <w:name w:val="Heading 5 Char"/>
    <w:basedOn w:val="DefaultParagraphFont"/>
    <w:link w:val="Heading5"/>
    <w:rsid w:val="00DF5C86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styleId="BodyText2Char" w:customStyle="1">
    <w:name w:val="Body Text 2 Char"/>
    <w:basedOn w:val="DefaultParagraphFont"/>
    <w:link w:val="BodyText2"/>
    <w:rsid w:val="00DF5C86"/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styleId="HeaderChar" w:customStyle="1">
    <w:name w:val="Header Char"/>
    <w:basedOn w:val="DefaultParagraphFont"/>
    <w:link w:val="Header"/>
    <w:rsid w:val="00DF5C86"/>
    <w:rPr>
      <w:rFonts w:ascii="Times New Roman" w:cs="Times New Roman" w:eastAsia="Times New Roman" w:hAnsi="Times New Roman"/>
      <w:sz w:val="20"/>
      <w:szCs w:val="20"/>
      <w:lang w:eastAsia="zh-CN" w:val="en-AU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DF5C86"/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5C8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5C86"/>
    <w:rPr>
      <w:rFonts w:ascii="Segoe UI" w:cs="Segoe UI" w:eastAsia="Times New Roman" w:hAnsi="Segoe UI"/>
      <w:sz w:val="18"/>
      <w:szCs w:val="18"/>
      <w:lang w:eastAsia="zh-CN"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C53BC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C53BC"/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C53B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C53BC"/>
    <w:rPr>
      <w:rFonts w:ascii="Times New Roman" w:cs="Times New Roman" w:eastAsia="Times New Roman" w:hAnsi="Times New Roman"/>
      <w:b w:val="1"/>
      <w:bCs w:val="1"/>
      <w:sz w:val="20"/>
      <w:szCs w:val="20"/>
      <w:lang w:eastAsia="zh-CN" w:val="en-US"/>
    </w:rPr>
  </w:style>
  <w:style w:type="paragraph" w:styleId="Default" w:customStyle="1">
    <w:name w:val="Default"/>
    <w:uiPriority w:val="99"/>
    <w:rsid w:val="00D11D2C"/>
    <w:pPr>
      <w:autoSpaceDE w:val="0"/>
      <w:autoSpaceDN w:val="0"/>
      <w:adjustRightInd w:val="0"/>
      <w:spacing w:after="0" w:line="240" w:lineRule="auto"/>
    </w:pPr>
    <w:rPr>
      <w:rFonts w:ascii="Cambria" w:cs="Cambria" w:eastAsia="Calibri" w:hAnsi="Cambri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1A08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://univ.d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prof.univ.dr" TargetMode="External"/><Relationship Id="rId8" Type="http://schemas.openxmlformats.org/officeDocument/2006/relationships/hyperlink" Target="http://prof.univ.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+vn5Gd/ADym2bSU5YE/SOIQCw==">CgMxLjA4AHIhMUdTR1RidUJMdTRnNHRPNWlRU09Hc0xBVTViQmlmT0tG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2025-12-29T08:44:00Z</dcterms:created>
  <dc:creator>Windows User</dc:creator>
</cp:coreProperties>
</file>