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E137" w14:textId="77777777" w:rsidR="00976102" w:rsidRPr="00976102" w:rsidRDefault="00976102" w:rsidP="00976102">
      <w:pPr>
        <w:rPr>
          <w:lang w:val="ro-RO"/>
        </w:rPr>
      </w:pPr>
    </w:p>
    <w:p w14:paraId="2FACE35B" w14:textId="77777777" w:rsidR="00235190" w:rsidRDefault="00DF5C86" w:rsidP="00DF5C86">
      <w:pPr>
        <w:pStyle w:val="Heading2"/>
        <w:numPr>
          <w:ilvl w:val="0"/>
          <w:numId w:val="0"/>
        </w:numPr>
        <w:spacing w:after="120"/>
        <w:ind w:firstLine="567"/>
        <w:jc w:val="center"/>
        <w:rPr>
          <w:sz w:val="20"/>
        </w:rPr>
      </w:pPr>
      <w:r w:rsidRPr="00B060A3">
        <w:rPr>
          <w:sz w:val="20"/>
        </w:rPr>
        <w:t>FIŞA DISCIPLINEI</w:t>
      </w:r>
    </w:p>
    <w:p w14:paraId="51B0EE8B" w14:textId="77777777" w:rsidR="00DF5C86" w:rsidRPr="00B060A3" w:rsidRDefault="00DF5C86" w:rsidP="00DF5C86">
      <w:pPr>
        <w:pStyle w:val="BodyText2"/>
        <w:rPr>
          <w:b/>
          <w:sz w:val="20"/>
        </w:rPr>
      </w:pPr>
    </w:p>
    <w:p w14:paraId="0BBC3B0B" w14:textId="77777777" w:rsidR="00DF5C86" w:rsidRPr="00B060A3" w:rsidRDefault="00DF5C86" w:rsidP="00DF5C86">
      <w:pPr>
        <w:pStyle w:val="BodyText2"/>
        <w:rPr>
          <w:b/>
          <w:sz w:val="20"/>
        </w:rPr>
      </w:pPr>
      <w:r w:rsidRPr="00B060A3">
        <w:rPr>
          <w:b/>
          <w:sz w:val="20"/>
        </w:rPr>
        <w:t>1. Date despre program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4060B4" w:rsidRPr="00B060A3" w14:paraId="6F720EB7" w14:textId="77777777" w:rsidTr="00C1331A">
        <w:trPr>
          <w:trHeight w:val="98"/>
        </w:trPr>
        <w:tc>
          <w:tcPr>
            <w:tcW w:w="3402" w:type="dxa"/>
          </w:tcPr>
          <w:p w14:paraId="4F31C1BA" w14:textId="77777777" w:rsidR="004060B4" w:rsidRPr="00B060A3" w:rsidRDefault="004060B4" w:rsidP="004060B4">
            <w:pPr>
              <w:pStyle w:val="Heading1"/>
              <w:numPr>
                <w:ilvl w:val="0"/>
                <w:numId w:val="0"/>
              </w:numPr>
              <w:ind w:left="34"/>
              <w:rPr>
                <w:b w:val="0"/>
                <w:sz w:val="20"/>
                <w:lang w:val="ro-RO"/>
              </w:rPr>
            </w:pPr>
            <w:r w:rsidRPr="00B060A3">
              <w:rPr>
                <w:b w:val="0"/>
                <w:sz w:val="20"/>
                <w:lang w:val="ro-RO"/>
              </w:rPr>
              <w:t>1.1</w:t>
            </w:r>
            <w:r>
              <w:rPr>
                <w:b w:val="0"/>
                <w:sz w:val="20"/>
                <w:lang w:val="ro-RO"/>
              </w:rPr>
              <w:t>.</w:t>
            </w:r>
            <w:r w:rsidRPr="00B060A3">
              <w:rPr>
                <w:b w:val="0"/>
                <w:sz w:val="20"/>
                <w:lang w:val="ro-RO"/>
              </w:rPr>
              <w:t xml:space="preserve"> Instituţia de învăţământ superior</w:t>
            </w:r>
          </w:p>
        </w:tc>
        <w:tc>
          <w:tcPr>
            <w:tcW w:w="6498" w:type="dxa"/>
            <w:vAlign w:val="center"/>
          </w:tcPr>
          <w:p w14:paraId="42E1E745" w14:textId="6208C090" w:rsidR="004060B4" w:rsidRPr="00D55970" w:rsidRDefault="004060B4" w:rsidP="004060B4">
            <w:pPr>
              <w:pStyle w:val="Heading1"/>
              <w:numPr>
                <w:ilvl w:val="0"/>
                <w:numId w:val="0"/>
              </w:numPr>
              <w:ind w:left="90"/>
              <w:jc w:val="left"/>
              <w:rPr>
                <w:b w:val="0"/>
                <w:sz w:val="20"/>
                <w:lang w:val="ro-RO"/>
              </w:rPr>
            </w:pPr>
            <w:r w:rsidRPr="00B358ED">
              <w:rPr>
                <w:rFonts w:ascii="Georgia" w:hAnsi="Georgia"/>
                <w:sz w:val="20"/>
              </w:rPr>
              <w:t>UNIVERSITATEA BABEŞ-BOLYAI</w:t>
            </w:r>
          </w:p>
        </w:tc>
      </w:tr>
      <w:tr w:rsidR="004060B4" w:rsidRPr="00B060A3" w14:paraId="44FBA330" w14:textId="77777777" w:rsidTr="00C1331A">
        <w:tc>
          <w:tcPr>
            <w:tcW w:w="3402" w:type="dxa"/>
          </w:tcPr>
          <w:p w14:paraId="05AB7BB8" w14:textId="77777777" w:rsidR="004060B4" w:rsidRPr="00B060A3" w:rsidRDefault="004060B4" w:rsidP="004060B4">
            <w:pPr>
              <w:pStyle w:val="Heading5"/>
              <w:spacing w:before="0" w:line="240" w:lineRule="auto"/>
              <w:ind w:left="34"/>
              <w:rPr>
                <w:b w:val="0"/>
                <w:sz w:val="20"/>
              </w:rPr>
            </w:pPr>
            <w:r w:rsidRPr="00B060A3">
              <w:rPr>
                <w:b w:val="0"/>
                <w:sz w:val="20"/>
              </w:rPr>
              <w:t>1.2</w:t>
            </w:r>
            <w:r>
              <w:rPr>
                <w:b w:val="0"/>
                <w:sz w:val="20"/>
              </w:rPr>
              <w:t>.</w:t>
            </w:r>
            <w:r w:rsidRPr="00B060A3">
              <w:rPr>
                <w:b w:val="0"/>
                <w:sz w:val="20"/>
              </w:rPr>
              <w:t xml:space="preserve"> Facultatea</w:t>
            </w:r>
          </w:p>
        </w:tc>
        <w:tc>
          <w:tcPr>
            <w:tcW w:w="6498" w:type="dxa"/>
            <w:vAlign w:val="center"/>
          </w:tcPr>
          <w:p w14:paraId="1EB5F16D" w14:textId="04D0466F" w:rsidR="004060B4" w:rsidRPr="00D55970" w:rsidRDefault="004060B4" w:rsidP="004060B4">
            <w:pPr>
              <w:pStyle w:val="Heading1"/>
              <w:numPr>
                <w:ilvl w:val="0"/>
                <w:numId w:val="0"/>
              </w:numPr>
              <w:ind w:left="90"/>
              <w:jc w:val="left"/>
              <w:rPr>
                <w:b w:val="0"/>
                <w:sz w:val="20"/>
                <w:lang w:val="ro-RO"/>
              </w:rPr>
            </w:pPr>
            <w:r w:rsidRPr="00B358ED">
              <w:rPr>
                <w:rFonts w:ascii="Georgia" w:hAnsi="Georgia"/>
                <w:sz w:val="20"/>
              </w:rPr>
              <w:t>DREPT</w:t>
            </w:r>
          </w:p>
        </w:tc>
      </w:tr>
      <w:tr w:rsidR="004060B4" w:rsidRPr="00B060A3" w14:paraId="1329D575" w14:textId="77777777" w:rsidTr="00C1331A">
        <w:tc>
          <w:tcPr>
            <w:tcW w:w="3402" w:type="dxa"/>
          </w:tcPr>
          <w:p w14:paraId="04B031F2" w14:textId="77777777" w:rsidR="004060B4" w:rsidRPr="00B060A3" w:rsidRDefault="004060B4" w:rsidP="004060B4">
            <w:pPr>
              <w:pStyle w:val="Heading1"/>
              <w:numPr>
                <w:ilvl w:val="0"/>
                <w:numId w:val="0"/>
              </w:numPr>
              <w:ind w:left="34"/>
              <w:rPr>
                <w:b w:val="0"/>
                <w:sz w:val="20"/>
                <w:lang w:val="ro-RO"/>
              </w:rPr>
            </w:pPr>
            <w:r w:rsidRPr="00B060A3">
              <w:rPr>
                <w:b w:val="0"/>
                <w:sz w:val="20"/>
                <w:lang w:val="ro-RO"/>
              </w:rPr>
              <w:t>1.3</w:t>
            </w:r>
            <w:r>
              <w:rPr>
                <w:b w:val="0"/>
                <w:sz w:val="20"/>
                <w:lang w:val="ro-RO"/>
              </w:rPr>
              <w:t>.</w:t>
            </w:r>
            <w:r w:rsidRPr="00B060A3">
              <w:rPr>
                <w:b w:val="0"/>
                <w:sz w:val="20"/>
                <w:lang w:val="ro-RO"/>
              </w:rPr>
              <w:t xml:space="preserve"> Departamentul</w:t>
            </w:r>
          </w:p>
        </w:tc>
        <w:tc>
          <w:tcPr>
            <w:tcW w:w="6498" w:type="dxa"/>
            <w:vAlign w:val="center"/>
          </w:tcPr>
          <w:p w14:paraId="7678CBA8" w14:textId="452AB5F0" w:rsidR="004060B4" w:rsidRPr="00D55970" w:rsidRDefault="004060B4" w:rsidP="004060B4">
            <w:pPr>
              <w:pStyle w:val="Heading1"/>
              <w:numPr>
                <w:ilvl w:val="0"/>
                <w:numId w:val="0"/>
              </w:numPr>
              <w:ind w:left="90"/>
              <w:jc w:val="left"/>
              <w:rPr>
                <w:b w:val="0"/>
                <w:sz w:val="20"/>
                <w:lang w:val="ro-RO"/>
              </w:rPr>
            </w:pPr>
            <w:r w:rsidRPr="00B358ED">
              <w:rPr>
                <w:rFonts w:ascii="Georgia" w:hAnsi="Georgia"/>
                <w:sz w:val="20"/>
              </w:rPr>
              <w:t>DREPT PRIVAT</w:t>
            </w:r>
          </w:p>
        </w:tc>
      </w:tr>
      <w:tr w:rsidR="004060B4" w:rsidRPr="00B060A3" w14:paraId="7FA8E505" w14:textId="77777777" w:rsidTr="00C1331A">
        <w:tc>
          <w:tcPr>
            <w:tcW w:w="3402" w:type="dxa"/>
          </w:tcPr>
          <w:p w14:paraId="46EEB2DC" w14:textId="77777777" w:rsidR="004060B4" w:rsidRPr="00B060A3" w:rsidRDefault="004060B4" w:rsidP="004060B4">
            <w:pPr>
              <w:ind w:left="34"/>
              <w:rPr>
                <w:lang w:val="ro-RO"/>
              </w:rPr>
            </w:pPr>
            <w:r w:rsidRPr="00B060A3">
              <w:rPr>
                <w:lang w:val="ro-RO"/>
              </w:rPr>
              <w:t>1.4</w:t>
            </w:r>
            <w:r>
              <w:rPr>
                <w:lang w:val="ro-RO"/>
              </w:rPr>
              <w:t>.</w:t>
            </w:r>
            <w:r w:rsidRPr="00B060A3">
              <w:rPr>
                <w:b/>
                <w:lang w:val="ro-RO"/>
              </w:rPr>
              <w:t xml:space="preserve"> </w:t>
            </w:r>
            <w:r w:rsidRPr="00B060A3">
              <w:rPr>
                <w:lang w:val="ro-RO"/>
              </w:rPr>
              <w:t>Domeniul de studii</w:t>
            </w:r>
          </w:p>
        </w:tc>
        <w:tc>
          <w:tcPr>
            <w:tcW w:w="6498" w:type="dxa"/>
            <w:vAlign w:val="center"/>
          </w:tcPr>
          <w:p w14:paraId="4E507517" w14:textId="12929913" w:rsidR="004060B4" w:rsidRPr="00D55970" w:rsidRDefault="004060B4" w:rsidP="004060B4">
            <w:pPr>
              <w:pStyle w:val="Heading1"/>
              <w:numPr>
                <w:ilvl w:val="0"/>
                <w:numId w:val="0"/>
              </w:numPr>
              <w:ind w:left="90"/>
              <w:jc w:val="left"/>
              <w:rPr>
                <w:b w:val="0"/>
                <w:sz w:val="20"/>
                <w:lang w:val="ro-RO"/>
              </w:rPr>
            </w:pPr>
            <w:r w:rsidRPr="00B358ED">
              <w:rPr>
                <w:rFonts w:ascii="Georgia" w:hAnsi="Georgia"/>
                <w:sz w:val="20"/>
              </w:rPr>
              <w:t>DREPT</w:t>
            </w:r>
          </w:p>
        </w:tc>
      </w:tr>
      <w:tr w:rsidR="004060B4" w:rsidRPr="00B060A3" w14:paraId="45C9EE0E" w14:textId="77777777" w:rsidTr="00C1331A">
        <w:tc>
          <w:tcPr>
            <w:tcW w:w="3402" w:type="dxa"/>
          </w:tcPr>
          <w:p w14:paraId="0D66DFB7" w14:textId="77777777" w:rsidR="004060B4" w:rsidRPr="00B060A3" w:rsidRDefault="004060B4" w:rsidP="004060B4">
            <w:pPr>
              <w:ind w:left="34"/>
              <w:rPr>
                <w:vertAlign w:val="superscript"/>
                <w:lang w:val="ro-RO"/>
              </w:rPr>
            </w:pPr>
            <w:r w:rsidRPr="00B060A3">
              <w:rPr>
                <w:lang w:val="ro-RO"/>
              </w:rPr>
              <w:t>1.5</w:t>
            </w:r>
            <w:r>
              <w:rPr>
                <w:lang w:val="ro-RO"/>
              </w:rPr>
              <w:t>.</w:t>
            </w:r>
            <w:r w:rsidRPr="00B060A3">
              <w:rPr>
                <w:b/>
                <w:lang w:val="ro-RO"/>
              </w:rPr>
              <w:t xml:space="preserve"> </w:t>
            </w:r>
            <w:r w:rsidRPr="00B060A3">
              <w:rPr>
                <w:lang w:val="ro-RO"/>
              </w:rPr>
              <w:t>Ciclul de studii</w:t>
            </w:r>
          </w:p>
        </w:tc>
        <w:tc>
          <w:tcPr>
            <w:tcW w:w="6498" w:type="dxa"/>
            <w:vAlign w:val="center"/>
          </w:tcPr>
          <w:p w14:paraId="3EA11C5D" w14:textId="1D071C10" w:rsidR="004060B4" w:rsidRPr="00D55970" w:rsidRDefault="004060B4" w:rsidP="004060B4">
            <w:pPr>
              <w:pStyle w:val="Heading1"/>
              <w:numPr>
                <w:ilvl w:val="0"/>
                <w:numId w:val="0"/>
              </w:numPr>
              <w:ind w:left="90"/>
              <w:jc w:val="left"/>
              <w:rPr>
                <w:b w:val="0"/>
                <w:sz w:val="20"/>
                <w:lang w:val="ro-RO"/>
              </w:rPr>
            </w:pPr>
            <w:r w:rsidRPr="00B358ED">
              <w:rPr>
                <w:rFonts w:ascii="Georgia" w:hAnsi="Georgia"/>
                <w:sz w:val="20"/>
              </w:rPr>
              <w:t>LICENŢĂ</w:t>
            </w:r>
          </w:p>
        </w:tc>
      </w:tr>
      <w:tr w:rsidR="004060B4" w:rsidRPr="00B060A3" w14:paraId="20C8633F" w14:textId="77777777" w:rsidTr="00C1331A">
        <w:trPr>
          <w:trHeight w:val="106"/>
        </w:trPr>
        <w:tc>
          <w:tcPr>
            <w:tcW w:w="3402" w:type="dxa"/>
          </w:tcPr>
          <w:p w14:paraId="6EBE79DB" w14:textId="77777777" w:rsidR="004060B4" w:rsidRPr="00B060A3" w:rsidRDefault="004060B4" w:rsidP="004060B4">
            <w:pPr>
              <w:pStyle w:val="Heading2"/>
              <w:numPr>
                <w:ilvl w:val="0"/>
                <w:numId w:val="0"/>
              </w:numPr>
              <w:ind w:left="34"/>
              <w:rPr>
                <w:b w:val="0"/>
                <w:sz w:val="20"/>
              </w:rPr>
            </w:pPr>
            <w:r w:rsidRPr="00B060A3">
              <w:rPr>
                <w:b w:val="0"/>
                <w:sz w:val="20"/>
              </w:rPr>
              <w:t>1.6</w:t>
            </w:r>
            <w:r>
              <w:rPr>
                <w:b w:val="0"/>
                <w:sz w:val="20"/>
              </w:rPr>
              <w:t>.</w:t>
            </w:r>
            <w:r w:rsidRPr="00B060A3">
              <w:rPr>
                <w:b w:val="0"/>
                <w:sz w:val="20"/>
              </w:rPr>
              <w:t xml:space="preserve"> Programul de studii</w:t>
            </w:r>
            <w:r>
              <w:rPr>
                <w:b w:val="0"/>
                <w:sz w:val="20"/>
              </w:rPr>
              <w:t xml:space="preserve"> </w:t>
            </w:r>
            <w:r w:rsidRPr="00B060A3">
              <w:rPr>
                <w:b w:val="0"/>
                <w:sz w:val="20"/>
              </w:rPr>
              <w:t>/ Calificarea</w:t>
            </w:r>
          </w:p>
        </w:tc>
        <w:tc>
          <w:tcPr>
            <w:tcW w:w="6498" w:type="dxa"/>
            <w:vAlign w:val="center"/>
          </w:tcPr>
          <w:p w14:paraId="1C55C08B" w14:textId="34CC4118" w:rsidR="004060B4" w:rsidRPr="00D55970" w:rsidRDefault="004060B4" w:rsidP="004060B4">
            <w:pPr>
              <w:pStyle w:val="Heading1"/>
              <w:numPr>
                <w:ilvl w:val="0"/>
                <w:numId w:val="0"/>
              </w:numPr>
              <w:ind w:left="90"/>
              <w:jc w:val="left"/>
              <w:rPr>
                <w:b w:val="0"/>
                <w:sz w:val="20"/>
                <w:lang w:val="ro-RO"/>
              </w:rPr>
            </w:pPr>
            <w:r w:rsidRPr="00B358ED">
              <w:rPr>
                <w:rFonts w:ascii="Georgia" w:hAnsi="Georgia"/>
                <w:sz w:val="20"/>
              </w:rPr>
              <w:t>DREPT</w:t>
            </w:r>
          </w:p>
        </w:tc>
      </w:tr>
      <w:tr w:rsidR="00DF5C86" w:rsidRPr="00B060A3" w14:paraId="210E3546" w14:textId="77777777" w:rsidTr="00C1331A">
        <w:trPr>
          <w:trHeight w:val="106"/>
        </w:trPr>
        <w:tc>
          <w:tcPr>
            <w:tcW w:w="3402" w:type="dxa"/>
          </w:tcPr>
          <w:p w14:paraId="42943E0E" w14:textId="77777777" w:rsidR="00DF5C86" w:rsidRPr="00B060A3" w:rsidRDefault="00DF5C86" w:rsidP="00C1331A">
            <w:pPr>
              <w:pStyle w:val="Heading2"/>
              <w:numPr>
                <w:ilvl w:val="0"/>
                <w:numId w:val="0"/>
              </w:numPr>
              <w:ind w:left="34"/>
              <w:rPr>
                <w:b w:val="0"/>
                <w:sz w:val="20"/>
              </w:rPr>
            </w:pPr>
            <w:r w:rsidRPr="00B060A3">
              <w:rPr>
                <w:b w:val="0"/>
                <w:sz w:val="20"/>
              </w:rPr>
              <w:t>1.7. Forma de învă</w:t>
            </w:r>
            <w:r>
              <w:rPr>
                <w:b w:val="0"/>
                <w:sz w:val="20"/>
              </w:rPr>
              <w:t>ţ</w:t>
            </w:r>
            <w:r w:rsidRPr="00B060A3">
              <w:rPr>
                <w:b w:val="0"/>
                <w:sz w:val="20"/>
              </w:rPr>
              <w:t>ământ</w:t>
            </w:r>
          </w:p>
        </w:tc>
        <w:tc>
          <w:tcPr>
            <w:tcW w:w="6498" w:type="dxa"/>
            <w:vAlign w:val="center"/>
          </w:tcPr>
          <w:p w14:paraId="4C1D7494" w14:textId="1E2D6C1A" w:rsidR="00DF5C86" w:rsidRPr="004060B4" w:rsidRDefault="004060B4" w:rsidP="004060B4">
            <w:pPr>
              <w:pStyle w:val="Heading1"/>
              <w:numPr>
                <w:ilvl w:val="0"/>
                <w:numId w:val="0"/>
              </w:numPr>
              <w:ind w:firstLine="109"/>
              <w:jc w:val="left"/>
              <w:rPr>
                <w:bCs/>
                <w:sz w:val="20"/>
                <w:lang w:val="ro-RO"/>
              </w:rPr>
            </w:pPr>
            <w:r w:rsidRPr="004060B4">
              <w:rPr>
                <w:bCs/>
                <w:sz w:val="20"/>
                <w:lang w:val="ro-RO"/>
              </w:rPr>
              <w:t>ÎNVĂȚĂMÂNT LA DISTANȚĂ</w:t>
            </w:r>
          </w:p>
        </w:tc>
      </w:tr>
    </w:tbl>
    <w:p w14:paraId="391E7A4C" w14:textId="77777777" w:rsidR="00DF5C86" w:rsidRPr="00B060A3" w:rsidRDefault="00DF5C86" w:rsidP="00DF5C86">
      <w:pPr>
        <w:rPr>
          <w:b/>
          <w:lang w:val="ro-RO"/>
        </w:rPr>
      </w:pPr>
    </w:p>
    <w:p w14:paraId="61469478" w14:textId="77777777" w:rsidR="00DF5C86" w:rsidRPr="00B060A3" w:rsidRDefault="00DF5C86" w:rsidP="00DF5C86">
      <w:pPr>
        <w:rPr>
          <w:lang w:val="ro-RO"/>
        </w:rPr>
      </w:pPr>
      <w:r w:rsidRPr="00B060A3">
        <w:rPr>
          <w:b/>
          <w:lang w:val="ro-RO"/>
        </w:rPr>
        <w:t xml:space="preserve">2. Date despre disciplină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1343"/>
        <w:gridCol w:w="709"/>
        <w:gridCol w:w="283"/>
        <w:gridCol w:w="992"/>
        <w:gridCol w:w="541"/>
        <w:gridCol w:w="735"/>
        <w:gridCol w:w="799"/>
      </w:tblGrid>
      <w:tr w:rsidR="0072360F" w:rsidRPr="00B060A3" w14:paraId="62F79912" w14:textId="77777777" w:rsidTr="00603028">
        <w:tc>
          <w:tcPr>
            <w:tcW w:w="2230" w:type="dxa"/>
            <w:gridSpan w:val="3"/>
          </w:tcPr>
          <w:p w14:paraId="6BBA97C8" w14:textId="77777777" w:rsidR="0072360F" w:rsidRPr="00B060A3" w:rsidRDefault="0072360F" w:rsidP="00C1331A">
            <w:pPr>
              <w:rPr>
                <w:lang w:val="ro-RO"/>
              </w:rPr>
            </w:pPr>
            <w:r w:rsidRPr="00B060A3">
              <w:rPr>
                <w:lang w:val="ro-RO"/>
              </w:rPr>
              <w:t>2.1</w:t>
            </w:r>
            <w:r>
              <w:rPr>
                <w:lang w:val="ro-RO"/>
              </w:rPr>
              <w:t>.</w:t>
            </w:r>
            <w:r w:rsidRPr="00B060A3">
              <w:rPr>
                <w:lang w:val="ro-RO"/>
              </w:rPr>
              <w:t xml:space="preserve"> Denumirea disciplinei</w:t>
            </w:r>
          </w:p>
        </w:tc>
        <w:tc>
          <w:tcPr>
            <w:tcW w:w="4603" w:type="dxa"/>
            <w:gridSpan w:val="6"/>
          </w:tcPr>
          <w:p w14:paraId="705DCBD7" w14:textId="7A008076" w:rsidR="0072360F" w:rsidRPr="00B060A3" w:rsidRDefault="004060B4" w:rsidP="00C1331A">
            <w:pPr>
              <w:rPr>
                <w:b/>
                <w:sz w:val="24"/>
                <w:szCs w:val="24"/>
                <w:lang w:val="ro-RO"/>
              </w:rPr>
            </w:pPr>
            <w:r w:rsidRPr="000D23B0">
              <w:rPr>
                <w:rFonts w:ascii="Georgia" w:hAnsi="Georgia"/>
                <w:b/>
              </w:rPr>
              <w:t>DREPT</w:t>
            </w:r>
            <w:r>
              <w:rPr>
                <w:rFonts w:ascii="Georgia" w:hAnsi="Georgia"/>
                <w:b/>
              </w:rPr>
              <w:t>UL</w:t>
            </w:r>
            <w:r w:rsidRPr="000D23B0">
              <w:rPr>
                <w:rFonts w:ascii="Georgia" w:hAnsi="Georgia"/>
                <w:b/>
              </w:rPr>
              <w:t xml:space="preserve"> </w:t>
            </w:r>
            <w:r w:rsidR="009800A6">
              <w:rPr>
                <w:rFonts w:ascii="Georgia" w:hAnsi="Georgia"/>
                <w:b/>
              </w:rPr>
              <w:t>INSOLVENȚEI</w:t>
            </w:r>
            <w:r>
              <w:rPr>
                <w:rFonts w:ascii="Georgia" w:hAnsi="Georgia"/>
                <w:b/>
              </w:rPr>
              <w:t xml:space="preserve">  </w:t>
            </w:r>
          </w:p>
        </w:tc>
        <w:tc>
          <w:tcPr>
            <w:tcW w:w="1533" w:type="dxa"/>
            <w:gridSpan w:val="2"/>
          </w:tcPr>
          <w:p w14:paraId="5961DE6E" w14:textId="77777777" w:rsidR="0072360F" w:rsidRPr="0072360F" w:rsidRDefault="0072360F" w:rsidP="00C1331A">
            <w:pPr>
              <w:rPr>
                <w:lang w:val="ro-RO"/>
              </w:rPr>
            </w:pPr>
            <w:r w:rsidRPr="0072360F">
              <w:rPr>
                <w:lang w:val="ro-RO"/>
              </w:rPr>
              <w:t>Codul disciplinei</w:t>
            </w:r>
          </w:p>
        </w:tc>
        <w:tc>
          <w:tcPr>
            <w:tcW w:w="1534" w:type="dxa"/>
            <w:gridSpan w:val="2"/>
          </w:tcPr>
          <w:p w14:paraId="1A9F0E63" w14:textId="2046EE62" w:rsidR="0072360F" w:rsidRPr="00B060A3" w:rsidRDefault="004060B4" w:rsidP="00C1331A">
            <w:pPr>
              <w:rPr>
                <w:b/>
                <w:sz w:val="24"/>
                <w:szCs w:val="24"/>
                <w:lang w:val="ro-RO"/>
              </w:rPr>
            </w:pPr>
            <w:r>
              <w:rPr>
                <w:rFonts w:ascii="Georgia" w:hAnsi="Georgia"/>
                <w:b/>
              </w:rPr>
              <w:t>DLR42</w:t>
            </w:r>
            <w:r w:rsidR="009800A6">
              <w:rPr>
                <w:rFonts w:ascii="Georgia" w:hAnsi="Georgia"/>
                <w:b/>
              </w:rPr>
              <w:t>91</w:t>
            </w:r>
          </w:p>
        </w:tc>
      </w:tr>
      <w:tr w:rsidR="00DF5C86" w:rsidRPr="004060B4" w14:paraId="575FFF92" w14:textId="77777777" w:rsidTr="00C1331A">
        <w:tc>
          <w:tcPr>
            <w:tcW w:w="4498" w:type="dxa"/>
            <w:gridSpan w:val="6"/>
          </w:tcPr>
          <w:p w14:paraId="4FB82EB7" w14:textId="5C994162" w:rsidR="00DF5C86" w:rsidRPr="00B060A3" w:rsidRDefault="00DF5C86" w:rsidP="00D33282">
            <w:pPr>
              <w:ind w:left="34"/>
              <w:rPr>
                <w:lang w:val="ro-RO"/>
              </w:rPr>
            </w:pPr>
            <w:r w:rsidRPr="00B060A3">
              <w:rPr>
                <w:lang w:val="ro-RO"/>
              </w:rPr>
              <w:t>2.2</w:t>
            </w:r>
            <w:r>
              <w:rPr>
                <w:lang w:val="ro-RO"/>
              </w:rPr>
              <w:t>.</w:t>
            </w:r>
            <w:r w:rsidRPr="00B060A3">
              <w:rPr>
                <w:lang w:val="ro-RO"/>
              </w:rPr>
              <w:t xml:space="preserve"> Titularul activităţilor de curs</w:t>
            </w:r>
            <w:r w:rsidR="00561B0C">
              <w:rPr>
                <w:lang w:val="ro-RO"/>
              </w:rPr>
              <w:t xml:space="preserve"> – Coordonatorul de disciplină</w:t>
            </w:r>
            <w:r w:rsidRPr="00B060A3">
              <w:rPr>
                <w:lang w:val="ro-RO"/>
              </w:rPr>
              <w:t xml:space="preserve"> </w:t>
            </w:r>
          </w:p>
        </w:tc>
        <w:tc>
          <w:tcPr>
            <w:tcW w:w="5402" w:type="dxa"/>
            <w:gridSpan w:val="7"/>
          </w:tcPr>
          <w:p w14:paraId="67E500E3" w14:textId="199C828D" w:rsidR="00DF5C86" w:rsidRPr="004060B4" w:rsidRDefault="004060B4" w:rsidP="00C1331A">
            <w:pPr>
              <w:rPr>
                <w:lang w:val="fr-FR"/>
              </w:rPr>
            </w:pPr>
            <w:r w:rsidRPr="004060B4">
              <w:rPr>
                <w:rFonts w:ascii="Georgia" w:hAnsi="Georgia"/>
                <w:lang w:val="fr-FR"/>
              </w:rPr>
              <w:t>Lect.univ.dr. Sergiu Golub</w:t>
            </w:r>
          </w:p>
        </w:tc>
      </w:tr>
      <w:tr w:rsidR="007442D2" w:rsidRPr="004060B4" w14:paraId="0B5E9D28" w14:textId="77777777" w:rsidTr="00C1331A">
        <w:tc>
          <w:tcPr>
            <w:tcW w:w="4498" w:type="dxa"/>
            <w:gridSpan w:val="6"/>
          </w:tcPr>
          <w:p w14:paraId="18DC6E97" w14:textId="7E6E2BFB" w:rsidR="007442D2" w:rsidRPr="00B060A3" w:rsidRDefault="007442D2" w:rsidP="007442D2">
            <w:pPr>
              <w:ind w:left="34"/>
              <w:rPr>
                <w:lang w:val="ro-RO"/>
              </w:rPr>
            </w:pPr>
            <w:r w:rsidRPr="00B060A3">
              <w:rPr>
                <w:lang w:val="ro-RO"/>
              </w:rPr>
              <w:t>2.3</w:t>
            </w:r>
            <w:r>
              <w:rPr>
                <w:lang w:val="ro-RO"/>
              </w:rPr>
              <w:t>.</w:t>
            </w:r>
            <w:r w:rsidRPr="00B060A3">
              <w:rPr>
                <w:lang w:val="ro-RO"/>
              </w:rPr>
              <w:t xml:space="preserve"> Titularul activităţilor de seminar</w:t>
            </w:r>
            <w:r>
              <w:rPr>
                <w:lang w:val="ro-RO"/>
              </w:rPr>
              <w:t xml:space="preserve"> </w:t>
            </w:r>
            <w:r w:rsidRPr="00B060A3">
              <w:rPr>
                <w:lang w:val="ro-RO"/>
              </w:rPr>
              <w:t>/ laborator</w:t>
            </w:r>
            <w:r>
              <w:rPr>
                <w:lang w:val="ro-RO"/>
              </w:rPr>
              <w:t xml:space="preserve"> </w:t>
            </w:r>
            <w:r w:rsidRPr="00B060A3">
              <w:rPr>
                <w:lang w:val="ro-RO"/>
              </w:rPr>
              <w:t xml:space="preserve">/ proiect </w:t>
            </w:r>
            <w:r>
              <w:rPr>
                <w:lang w:val="ro-RO"/>
              </w:rPr>
              <w:t xml:space="preserve">– tutorele </w:t>
            </w:r>
          </w:p>
        </w:tc>
        <w:tc>
          <w:tcPr>
            <w:tcW w:w="5402" w:type="dxa"/>
            <w:gridSpan w:val="7"/>
          </w:tcPr>
          <w:p w14:paraId="5B8B5592" w14:textId="4B1558D1" w:rsidR="007442D2" w:rsidRPr="004060B4" w:rsidRDefault="009800A6" w:rsidP="007442D2">
            <w:pPr>
              <w:rPr>
                <w:lang w:val="fr-FR"/>
              </w:rPr>
            </w:pPr>
            <w:r>
              <w:rPr>
                <w:rFonts w:ascii="Georgia" w:hAnsi="Georgia"/>
                <w:lang w:val="fr-FR"/>
              </w:rPr>
              <w:t>Jud.dr. Mihaela Sărăcuț</w:t>
            </w:r>
          </w:p>
        </w:tc>
      </w:tr>
      <w:tr w:rsidR="007442D2" w:rsidRPr="004060B4" w14:paraId="37C2A828" w14:textId="77777777" w:rsidTr="0072360F">
        <w:trPr>
          <w:trHeight w:val="345"/>
        </w:trPr>
        <w:tc>
          <w:tcPr>
            <w:tcW w:w="1447" w:type="dxa"/>
            <w:vMerge w:val="restart"/>
          </w:tcPr>
          <w:p w14:paraId="47BFB636" w14:textId="77777777" w:rsidR="007442D2" w:rsidRPr="00B060A3" w:rsidRDefault="007442D2" w:rsidP="007442D2">
            <w:pPr>
              <w:ind w:left="34"/>
              <w:rPr>
                <w:lang w:val="ro-RO"/>
              </w:rPr>
            </w:pPr>
            <w:r w:rsidRPr="00B060A3">
              <w:rPr>
                <w:lang w:val="ro-RO"/>
              </w:rPr>
              <w:t>2.4</w:t>
            </w:r>
            <w:r>
              <w:rPr>
                <w:lang w:val="ro-RO"/>
              </w:rPr>
              <w:t>.</w:t>
            </w:r>
            <w:r w:rsidRPr="00B060A3">
              <w:rPr>
                <w:lang w:val="ro-RO"/>
              </w:rPr>
              <w:t xml:space="preserve"> Anul de studiu</w:t>
            </w:r>
          </w:p>
        </w:tc>
        <w:tc>
          <w:tcPr>
            <w:tcW w:w="708" w:type="dxa"/>
            <w:vMerge w:val="restart"/>
            <w:vAlign w:val="center"/>
          </w:tcPr>
          <w:p w14:paraId="20BE15AD" w14:textId="7C7ADFE2" w:rsidR="007442D2" w:rsidRPr="00B060A3" w:rsidRDefault="004060B4" w:rsidP="007442D2">
            <w:pPr>
              <w:jc w:val="center"/>
              <w:rPr>
                <w:color w:val="FF0000"/>
                <w:lang w:val="ro-RO"/>
              </w:rPr>
            </w:pPr>
            <w:r>
              <w:rPr>
                <w:rFonts w:ascii="Georgia" w:hAnsi="Georgia"/>
                <w:b/>
              </w:rPr>
              <w:t>IV</w:t>
            </w:r>
          </w:p>
        </w:tc>
        <w:tc>
          <w:tcPr>
            <w:tcW w:w="1276" w:type="dxa"/>
            <w:gridSpan w:val="2"/>
            <w:vMerge w:val="restart"/>
          </w:tcPr>
          <w:p w14:paraId="37526271" w14:textId="77777777" w:rsidR="007442D2" w:rsidRPr="00B060A3" w:rsidRDefault="007442D2" w:rsidP="007442D2">
            <w:pPr>
              <w:ind w:right="-203"/>
              <w:rPr>
                <w:lang w:val="ro-RO"/>
              </w:rPr>
            </w:pPr>
            <w:r w:rsidRPr="00B060A3">
              <w:rPr>
                <w:lang w:val="ro-RO"/>
              </w:rPr>
              <w:t>2.5</w:t>
            </w:r>
            <w:r>
              <w:rPr>
                <w:lang w:val="ro-RO"/>
              </w:rPr>
              <w:t>.</w:t>
            </w:r>
            <w:r w:rsidRPr="00B060A3">
              <w:rPr>
                <w:lang w:val="ro-RO"/>
              </w:rPr>
              <w:t xml:space="preserve"> Semestrul</w:t>
            </w:r>
          </w:p>
        </w:tc>
        <w:tc>
          <w:tcPr>
            <w:tcW w:w="567" w:type="dxa"/>
            <w:vMerge w:val="restart"/>
            <w:vAlign w:val="center"/>
          </w:tcPr>
          <w:p w14:paraId="6E9765A9" w14:textId="7685D8DF" w:rsidR="007442D2" w:rsidRPr="00B060A3" w:rsidRDefault="004060B4" w:rsidP="007442D2">
            <w:pPr>
              <w:jc w:val="center"/>
              <w:rPr>
                <w:color w:val="FF0000"/>
                <w:lang w:val="ro-RO"/>
              </w:rPr>
            </w:pPr>
            <w:r w:rsidRPr="009B3503">
              <w:rPr>
                <w:rFonts w:ascii="Georgia" w:hAnsi="Georgia"/>
                <w:b/>
              </w:rPr>
              <w:t>I</w:t>
            </w:r>
            <w:r>
              <w:rPr>
                <w:rFonts w:ascii="Georgia" w:hAnsi="Georgia"/>
                <w:b/>
              </w:rPr>
              <w:t>I</w:t>
            </w:r>
          </w:p>
        </w:tc>
        <w:tc>
          <w:tcPr>
            <w:tcW w:w="1843" w:type="dxa"/>
            <w:gridSpan w:val="2"/>
            <w:vMerge w:val="restart"/>
          </w:tcPr>
          <w:p w14:paraId="4123F1B7" w14:textId="77777777" w:rsidR="007442D2" w:rsidRDefault="007442D2" w:rsidP="007442D2">
            <w:pPr>
              <w:ind w:right="-288"/>
              <w:rPr>
                <w:lang w:val="ro-RO"/>
              </w:rPr>
            </w:pPr>
            <w:r w:rsidRPr="00B060A3">
              <w:rPr>
                <w:lang w:val="ro-RO"/>
              </w:rPr>
              <w:t>2.6</w:t>
            </w:r>
            <w:r>
              <w:rPr>
                <w:lang w:val="ro-RO"/>
              </w:rPr>
              <w:t>.</w:t>
            </w:r>
            <w:r w:rsidRPr="00B060A3">
              <w:rPr>
                <w:lang w:val="ro-RO"/>
              </w:rPr>
              <w:t xml:space="preserve"> Tipul </w:t>
            </w:r>
          </w:p>
          <w:p w14:paraId="1AFCD3EC" w14:textId="77777777" w:rsidR="007442D2" w:rsidRPr="00B060A3" w:rsidRDefault="007442D2" w:rsidP="007442D2">
            <w:pPr>
              <w:ind w:right="-288"/>
              <w:rPr>
                <w:lang w:val="ro-RO"/>
              </w:rPr>
            </w:pPr>
            <w:r w:rsidRPr="00B060A3">
              <w:rPr>
                <w:lang w:val="ro-RO"/>
              </w:rPr>
              <w:t>de evaluare</w:t>
            </w:r>
          </w:p>
        </w:tc>
        <w:tc>
          <w:tcPr>
            <w:tcW w:w="709" w:type="dxa"/>
            <w:vMerge w:val="restart"/>
            <w:vAlign w:val="center"/>
          </w:tcPr>
          <w:p w14:paraId="705AC16C" w14:textId="3C0635BD" w:rsidR="007442D2" w:rsidRPr="00B060A3" w:rsidRDefault="004060B4" w:rsidP="007442D2">
            <w:pPr>
              <w:jc w:val="center"/>
              <w:rPr>
                <w:color w:val="FF0000"/>
                <w:lang w:val="ro-RO"/>
              </w:rPr>
            </w:pPr>
            <w:r>
              <w:rPr>
                <w:rFonts w:ascii="Georgia" w:hAnsi="Georgia"/>
                <w:b/>
              </w:rPr>
              <w:t>C</w:t>
            </w:r>
          </w:p>
        </w:tc>
        <w:tc>
          <w:tcPr>
            <w:tcW w:w="1275" w:type="dxa"/>
            <w:gridSpan w:val="2"/>
            <w:vMerge w:val="restart"/>
          </w:tcPr>
          <w:p w14:paraId="64BB5161" w14:textId="77777777" w:rsidR="007442D2" w:rsidRPr="00B060A3" w:rsidRDefault="007442D2" w:rsidP="007442D2">
            <w:pPr>
              <w:rPr>
                <w:vertAlign w:val="superscript"/>
                <w:lang w:val="ro-RO"/>
              </w:rPr>
            </w:pPr>
            <w:r w:rsidRPr="00B060A3">
              <w:rPr>
                <w:lang w:val="ro-RO"/>
              </w:rPr>
              <w:t>2.7</w:t>
            </w:r>
            <w:r>
              <w:rPr>
                <w:lang w:val="ro-RO"/>
              </w:rPr>
              <w:t>.</w:t>
            </w:r>
            <w:r w:rsidRPr="00B060A3">
              <w:rPr>
                <w:lang w:val="ro-RO"/>
              </w:rPr>
              <w:t xml:space="preserve"> Regimul disciplinei</w:t>
            </w:r>
          </w:p>
        </w:tc>
        <w:tc>
          <w:tcPr>
            <w:tcW w:w="1276" w:type="dxa"/>
            <w:gridSpan w:val="2"/>
          </w:tcPr>
          <w:p w14:paraId="012DEDE7" w14:textId="77777777" w:rsidR="007442D2" w:rsidRPr="00B060A3" w:rsidRDefault="007442D2" w:rsidP="007442D2">
            <w:pPr>
              <w:rPr>
                <w:vertAlign w:val="superscript"/>
                <w:lang w:val="ro-RO"/>
              </w:rPr>
            </w:pPr>
            <w:r w:rsidRPr="00B060A3">
              <w:rPr>
                <w:lang w:val="ro-RO"/>
              </w:rPr>
              <w:t>Conţinut</w:t>
            </w:r>
          </w:p>
        </w:tc>
        <w:tc>
          <w:tcPr>
            <w:tcW w:w="799" w:type="dxa"/>
          </w:tcPr>
          <w:p w14:paraId="5A0C6D77" w14:textId="77777777" w:rsidR="007442D2" w:rsidRPr="00D33282" w:rsidRDefault="007442D2" w:rsidP="007442D2">
            <w:pPr>
              <w:rPr>
                <w:sz w:val="10"/>
                <w:szCs w:val="10"/>
                <w:lang w:val="ro-RO"/>
              </w:rPr>
            </w:pPr>
            <w:r w:rsidRPr="00D33282">
              <w:rPr>
                <w:sz w:val="10"/>
                <w:szCs w:val="10"/>
                <w:lang w:val="ro-RO"/>
              </w:rPr>
              <w:t>Felul disciplinei</w:t>
            </w:r>
          </w:p>
          <w:p w14:paraId="29D05110" w14:textId="14E015C3" w:rsidR="007442D2" w:rsidRPr="0072360F" w:rsidRDefault="004060B4" w:rsidP="007442D2">
            <w:pPr>
              <w:rPr>
                <w:sz w:val="16"/>
                <w:szCs w:val="16"/>
                <w:lang w:val="ro-RO"/>
              </w:rPr>
            </w:pPr>
            <w:r w:rsidRPr="004060B4">
              <w:rPr>
                <w:sz w:val="16"/>
                <w:szCs w:val="16"/>
                <w:lang w:val="ro-RO"/>
              </w:rPr>
              <w:t>DS</w:t>
            </w:r>
          </w:p>
        </w:tc>
      </w:tr>
      <w:tr w:rsidR="007442D2" w:rsidRPr="00B060A3" w14:paraId="5527D382" w14:textId="77777777" w:rsidTr="0072360F">
        <w:trPr>
          <w:trHeight w:val="345"/>
        </w:trPr>
        <w:tc>
          <w:tcPr>
            <w:tcW w:w="1447" w:type="dxa"/>
            <w:vMerge/>
          </w:tcPr>
          <w:p w14:paraId="41B9DC19" w14:textId="77777777" w:rsidR="007442D2" w:rsidRPr="00B060A3" w:rsidRDefault="007442D2" w:rsidP="007442D2">
            <w:pPr>
              <w:ind w:left="318"/>
              <w:rPr>
                <w:lang w:val="ro-RO"/>
              </w:rPr>
            </w:pPr>
          </w:p>
        </w:tc>
        <w:tc>
          <w:tcPr>
            <w:tcW w:w="708" w:type="dxa"/>
            <w:vMerge/>
          </w:tcPr>
          <w:p w14:paraId="123D958F" w14:textId="77777777" w:rsidR="007442D2" w:rsidRPr="00B060A3" w:rsidRDefault="007442D2" w:rsidP="007442D2">
            <w:pPr>
              <w:rPr>
                <w:lang w:val="ro-RO"/>
              </w:rPr>
            </w:pPr>
          </w:p>
        </w:tc>
        <w:tc>
          <w:tcPr>
            <w:tcW w:w="1276" w:type="dxa"/>
            <w:gridSpan w:val="2"/>
            <w:vMerge/>
          </w:tcPr>
          <w:p w14:paraId="5F9F46B2" w14:textId="77777777" w:rsidR="007442D2" w:rsidRPr="00B060A3" w:rsidRDefault="007442D2" w:rsidP="007442D2">
            <w:pPr>
              <w:rPr>
                <w:lang w:val="ro-RO"/>
              </w:rPr>
            </w:pPr>
          </w:p>
        </w:tc>
        <w:tc>
          <w:tcPr>
            <w:tcW w:w="567" w:type="dxa"/>
            <w:vMerge/>
          </w:tcPr>
          <w:p w14:paraId="7C67F9E5" w14:textId="77777777" w:rsidR="007442D2" w:rsidRPr="00B060A3" w:rsidRDefault="007442D2" w:rsidP="007442D2">
            <w:pPr>
              <w:rPr>
                <w:lang w:val="ro-RO"/>
              </w:rPr>
            </w:pPr>
          </w:p>
        </w:tc>
        <w:tc>
          <w:tcPr>
            <w:tcW w:w="1843" w:type="dxa"/>
            <w:gridSpan w:val="2"/>
            <w:vMerge/>
          </w:tcPr>
          <w:p w14:paraId="3BEAC139" w14:textId="77777777" w:rsidR="007442D2" w:rsidRPr="00B060A3" w:rsidRDefault="007442D2" w:rsidP="007442D2">
            <w:pPr>
              <w:rPr>
                <w:lang w:val="ro-RO"/>
              </w:rPr>
            </w:pPr>
          </w:p>
        </w:tc>
        <w:tc>
          <w:tcPr>
            <w:tcW w:w="709" w:type="dxa"/>
            <w:vMerge/>
          </w:tcPr>
          <w:p w14:paraId="38038B70" w14:textId="77777777" w:rsidR="007442D2" w:rsidRPr="00B060A3" w:rsidRDefault="007442D2" w:rsidP="007442D2">
            <w:pPr>
              <w:rPr>
                <w:lang w:val="ro-RO"/>
              </w:rPr>
            </w:pPr>
          </w:p>
        </w:tc>
        <w:tc>
          <w:tcPr>
            <w:tcW w:w="1275" w:type="dxa"/>
            <w:gridSpan w:val="2"/>
            <w:vMerge/>
          </w:tcPr>
          <w:p w14:paraId="7B091875" w14:textId="77777777" w:rsidR="007442D2" w:rsidRPr="00B060A3" w:rsidRDefault="007442D2" w:rsidP="007442D2">
            <w:pPr>
              <w:rPr>
                <w:lang w:val="ro-RO"/>
              </w:rPr>
            </w:pPr>
          </w:p>
        </w:tc>
        <w:tc>
          <w:tcPr>
            <w:tcW w:w="1276" w:type="dxa"/>
            <w:gridSpan w:val="2"/>
          </w:tcPr>
          <w:p w14:paraId="26FC395D" w14:textId="77777777" w:rsidR="007442D2" w:rsidRPr="0072360F" w:rsidRDefault="007442D2" w:rsidP="007442D2">
            <w:pPr>
              <w:rPr>
                <w:sz w:val="18"/>
                <w:szCs w:val="18"/>
                <w:vertAlign w:val="superscript"/>
                <w:lang w:val="ro-RO"/>
              </w:rPr>
            </w:pPr>
            <w:r w:rsidRPr="0072360F">
              <w:rPr>
                <w:sz w:val="18"/>
                <w:szCs w:val="18"/>
                <w:lang w:val="ro-RO"/>
              </w:rPr>
              <w:t>Obligativitate</w:t>
            </w:r>
          </w:p>
        </w:tc>
        <w:tc>
          <w:tcPr>
            <w:tcW w:w="799" w:type="dxa"/>
          </w:tcPr>
          <w:p w14:paraId="35317E2D" w14:textId="77777777" w:rsidR="007442D2" w:rsidRPr="00D33282" w:rsidRDefault="007442D2" w:rsidP="007442D2">
            <w:pPr>
              <w:rPr>
                <w:sz w:val="10"/>
                <w:szCs w:val="10"/>
                <w:lang w:val="ro-RO"/>
              </w:rPr>
            </w:pPr>
            <w:r w:rsidRPr="00D33282">
              <w:rPr>
                <w:sz w:val="10"/>
                <w:szCs w:val="10"/>
                <w:lang w:val="ro-RO"/>
              </w:rPr>
              <w:t>Obligatorie/</w:t>
            </w:r>
          </w:p>
          <w:p w14:paraId="46C25293" w14:textId="77777777" w:rsidR="007442D2" w:rsidRPr="00D33282" w:rsidRDefault="007442D2" w:rsidP="007442D2">
            <w:pPr>
              <w:rPr>
                <w:sz w:val="10"/>
                <w:szCs w:val="10"/>
                <w:lang w:val="ro-RO"/>
              </w:rPr>
            </w:pPr>
            <w:r w:rsidRPr="00D33282">
              <w:rPr>
                <w:sz w:val="10"/>
                <w:szCs w:val="10"/>
                <w:lang w:val="ro-RO"/>
              </w:rPr>
              <w:t>opțională</w:t>
            </w:r>
          </w:p>
          <w:p w14:paraId="27E69D28" w14:textId="5E4D02EF" w:rsidR="007442D2" w:rsidRPr="0072360F" w:rsidRDefault="004060B4" w:rsidP="007442D2">
            <w:pPr>
              <w:rPr>
                <w:sz w:val="18"/>
                <w:szCs w:val="18"/>
                <w:lang w:val="ro-RO"/>
              </w:rPr>
            </w:pPr>
            <w:r w:rsidRPr="004060B4">
              <w:rPr>
                <w:sz w:val="18"/>
                <w:szCs w:val="18"/>
                <w:lang w:val="ro-RO"/>
              </w:rPr>
              <w:t>DO</w:t>
            </w:r>
          </w:p>
        </w:tc>
      </w:tr>
    </w:tbl>
    <w:p w14:paraId="73EA031B" w14:textId="77777777" w:rsidR="00DF5C86" w:rsidRPr="00B060A3" w:rsidRDefault="00DF5C86" w:rsidP="00DF5C86">
      <w:pPr>
        <w:pStyle w:val="BodyText2"/>
        <w:jc w:val="left"/>
        <w:rPr>
          <w:b/>
          <w:sz w:val="20"/>
        </w:rPr>
      </w:pPr>
    </w:p>
    <w:p w14:paraId="73861DB0" w14:textId="77777777" w:rsidR="00DF5C86" w:rsidRPr="00B060A3" w:rsidRDefault="00DF5C86" w:rsidP="00DF5C86">
      <w:pPr>
        <w:pStyle w:val="BodyText2"/>
        <w:jc w:val="left"/>
        <w:rPr>
          <w:b/>
          <w:sz w:val="20"/>
        </w:rPr>
      </w:pPr>
      <w:r w:rsidRPr="00B060A3">
        <w:rPr>
          <w:b/>
          <w:sz w:val="20"/>
        </w:rPr>
        <w:t>3. Timpul</w:t>
      </w:r>
      <w:r w:rsidRPr="00B060A3">
        <w:rPr>
          <w:b/>
        </w:rPr>
        <w:t xml:space="preserve"> </w:t>
      </w:r>
      <w:r w:rsidRPr="00B060A3">
        <w:rPr>
          <w:b/>
          <w:sz w:val="20"/>
        </w:rPr>
        <w:t xml:space="preserve">total estimat </w:t>
      </w:r>
      <w:r w:rsidRPr="00B060A3">
        <w:rPr>
          <w:sz w:val="20"/>
        </w:rPr>
        <w:t>(ore pe semestru al activităţilor didactice)</w:t>
      </w:r>
    </w:p>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567"/>
        <w:gridCol w:w="20"/>
        <w:gridCol w:w="1350"/>
        <w:gridCol w:w="450"/>
        <w:gridCol w:w="2070"/>
        <w:gridCol w:w="450"/>
        <w:gridCol w:w="2610"/>
        <w:gridCol w:w="540"/>
      </w:tblGrid>
      <w:tr w:rsidR="007442D2" w:rsidRPr="00B060A3" w14:paraId="0B3B7B14" w14:textId="77777777" w:rsidTr="004060B4">
        <w:trPr>
          <w:trHeight w:val="248"/>
        </w:trPr>
        <w:tc>
          <w:tcPr>
            <w:tcW w:w="1838" w:type="dxa"/>
            <w:tcBorders>
              <w:bottom w:val="single" w:sz="4" w:space="0" w:color="auto"/>
            </w:tcBorders>
            <w:vAlign w:val="center"/>
          </w:tcPr>
          <w:p w14:paraId="7B2DE4F1" w14:textId="77777777" w:rsidR="007442D2" w:rsidRPr="00B060A3" w:rsidRDefault="007442D2" w:rsidP="007078E3">
            <w:pPr>
              <w:pStyle w:val="Heading2"/>
              <w:numPr>
                <w:ilvl w:val="0"/>
                <w:numId w:val="0"/>
              </w:numPr>
              <w:rPr>
                <w:b w:val="0"/>
                <w:sz w:val="20"/>
              </w:rPr>
            </w:pPr>
            <w:r w:rsidRPr="00B060A3">
              <w:rPr>
                <w:b w:val="0"/>
                <w:sz w:val="20"/>
              </w:rPr>
              <w:t>3.1</w:t>
            </w:r>
            <w:r>
              <w:rPr>
                <w:b w:val="0"/>
                <w:sz w:val="20"/>
              </w:rPr>
              <w:t>.</w:t>
            </w:r>
            <w:r w:rsidRPr="00B060A3">
              <w:rPr>
                <w:b w:val="0"/>
                <w:sz w:val="20"/>
              </w:rPr>
              <w:t xml:space="preserve"> Număr de ore pe săptămână – forma cu frecvenţă</w:t>
            </w:r>
          </w:p>
        </w:tc>
        <w:tc>
          <w:tcPr>
            <w:tcW w:w="567" w:type="dxa"/>
            <w:tcBorders>
              <w:bottom w:val="single" w:sz="4" w:space="0" w:color="auto"/>
            </w:tcBorders>
            <w:vAlign w:val="center"/>
          </w:tcPr>
          <w:p w14:paraId="2AB4E312" w14:textId="4B7662CA" w:rsidR="007442D2" w:rsidRPr="00B060A3" w:rsidRDefault="004060B4" w:rsidP="007078E3">
            <w:pPr>
              <w:jc w:val="center"/>
              <w:rPr>
                <w:b/>
                <w:lang w:val="ro-RO"/>
              </w:rPr>
            </w:pPr>
            <w:r>
              <w:rPr>
                <w:b/>
                <w:lang w:val="ro-RO"/>
              </w:rPr>
              <w:t>3</w:t>
            </w:r>
          </w:p>
        </w:tc>
        <w:tc>
          <w:tcPr>
            <w:tcW w:w="1370" w:type="dxa"/>
            <w:gridSpan w:val="2"/>
            <w:tcBorders>
              <w:bottom w:val="single" w:sz="4" w:space="0" w:color="auto"/>
            </w:tcBorders>
            <w:vAlign w:val="center"/>
          </w:tcPr>
          <w:p w14:paraId="7877E434" w14:textId="77777777" w:rsidR="007442D2" w:rsidRPr="00B060A3" w:rsidRDefault="007442D2" w:rsidP="007078E3">
            <w:pPr>
              <w:rPr>
                <w:lang w:val="ro-RO"/>
              </w:rPr>
            </w:pPr>
            <w:r w:rsidRPr="00B060A3">
              <w:rPr>
                <w:lang w:val="ro-RO"/>
              </w:rPr>
              <w:t>din care: 3.2</w:t>
            </w:r>
            <w:r>
              <w:rPr>
                <w:lang w:val="ro-RO"/>
              </w:rPr>
              <w:t>.</w:t>
            </w:r>
            <w:r w:rsidRPr="00B060A3">
              <w:rPr>
                <w:lang w:val="ro-RO"/>
              </w:rPr>
              <w:t xml:space="preserve"> curs</w:t>
            </w:r>
          </w:p>
        </w:tc>
        <w:tc>
          <w:tcPr>
            <w:tcW w:w="450" w:type="dxa"/>
            <w:tcBorders>
              <w:bottom w:val="single" w:sz="4" w:space="0" w:color="auto"/>
            </w:tcBorders>
          </w:tcPr>
          <w:p w14:paraId="27BF311E" w14:textId="77777777" w:rsidR="007442D2" w:rsidRDefault="007442D2" w:rsidP="007078E3">
            <w:pPr>
              <w:pStyle w:val="Heading2"/>
              <w:numPr>
                <w:ilvl w:val="0"/>
                <w:numId w:val="0"/>
              </w:numPr>
              <w:ind w:left="360"/>
              <w:rPr>
                <w:sz w:val="20"/>
              </w:rPr>
            </w:pPr>
          </w:p>
          <w:p w14:paraId="2A7AA7B6" w14:textId="6CCC147E" w:rsidR="004060B4" w:rsidRPr="004060B4" w:rsidRDefault="004060B4" w:rsidP="004060B4">
            <w:pPr>
              <w:rPr>
                <w:b/>
                <w:bCs/>
                <w:lang w:val="ro-RO"/>
              </w:rPr>
            </w:pPr>
            <w:r w:rsidRPr="004060B4">
              <w:rPr>
                <w:b/>
                <w:bCs/>
                <w:lang w:val="ro-RO"/>
              </w:rPr>
              <w:t>2</w:t>
            </w:r>
          </w:p>
        </w:tc>
        <w:tc>
          <w:tcPr>
            <w:tcW w:w="2070" w:type="dxa"/>
            <w:tcBorders>
              <w:bottom w:val="single" w:sz="4" w:space="0" w:color="auto"/>
            </w:tcBorders>
            <w:vAlign w:val="center"/>
          </w:tcPr>
          <w:p w14:paraId="3E80BEAB" w14:textId="77777777" w:rsidR="007442D2" w:rsidRPr="00070098" w:rsidRDefault="007442D2" w:rsidP="007442D2">
            <w:pPr>
              <w:pStyle w:val="Heading2"/>
              <w:numPr>
                <w:ilvl w:val="0"/>
                <w:numId w:val="0"/>
              </w:numPr>
              <w:ind w:left="360" w:hanging="360"/>
              <w:jc w:val="center"/>
              <w:rPr>
                <w:sz w:val="20"/>
              </w:rPr>
            </w:pPr>
          </w:p>
        </w:tc>
        <w:tc>
          <w:tcPr>
            <w:tcW w:w="450" w:type="dxa"/>
            <w:tcBorders>
              <w:bottom w:val="single" w:sz="4" w:space="0" w:color="auto"/>
            </w:tcBorders>
          </w:tcPr>
          <w:p w14:paraId="6C1F7FE2" w14:textId="77777777" w:rsidR="007442D2" w:rsidRPr="00070098" w:rsidRDefault="007442D2" w:rsidP="007078E3">
            <w:pPr>
              <w:pStyle w:val="Heading2"/>
              <w:numPr>
                <w:ilvl w:val="0"/>
                <w:numId w:val="0"/>
              </w:numPr>
              <w:ind w:left="360"/>
              <w:rPr>
                <w:sz w:val="20"/>
              </w:rPr>
            </w:pPr>
          </w:p>
        </w:tc>
        <w:tc>
          <w:tcPr>
            <w:tcW w:w="2610" w:type="dxa"/>
            <w:tcBorders>
              <w:bottom w:val="single" w:sz="4" w:space="0" w:color="auto"/>
            </w:tcBorders>
            <w:vAlign w:val="center"/>
          </w:tcPr>
          <w:p w14:paraId="0F79F22C" w14:textId="77777777" w:rsidR="007442D2" w:rsidRPr="00B060A3" w:rsidRDefault="007442D2" w:rsidP="007078E3">
            <w:pPr>
              <w:rPr>
                <w:lang w:val="ro-RO"/>
              </w:rPr>
            </w:pPr>
            <w:r w:rsidRPr="00B060A3">
              <w:rPr>
                <w:lang w:val="ro-RO"/>
              </w:rPr>
              <w:t>3.3</w:t>
            </w:r>
            <w:r>
              <w:rPr>
                <w:lang w:val="ro-RO"/>
              </w:rPr>
              <w:t>.</w:t>
            </w:r>
            <w:r w:rsidRPr="00B060A3">
              <w:rPr>
                <w:lang w:val="ro-RO"/>
              </w:rPr>
              <w:t xml:space="preserve"> seminar/ laborator/ proiect</w:t>
            </w:r>
          </w:p>
        </w:tc>
        <w:tc>
          <w:tcPr>
            <w:tcW w:w="540" w:type="dxa"/>
            <w:tcBorders>
              <w:bottom w:val="single" w:sz="4" w:space="0" w:color="auto"/>
            </w:tcBorders>
            <w:vAlign w:val="center"/>
          </w:tcPr>
          <w:p w14:paraId="544C3935" w14:textId="6C3B171A" w:rsidR="007442D2" w:rsidRPr="00B060A3" w:rsidRDefault="004060B4" w:rsidP="007078E3">
            <w:pPr>
              <w:jc w:val="center"/>
              <w:rPr>
                <w:b/>
                <w:lang w:val="ro-RO"/>
              </w:rPr>
            </w:pPr>
            <w:r>
              <w:rPr>
                <w:b/>
                <w:lang w:val="ro-RO"/>
              </w:rPr>
              <w:t>1</w:t>
            </w:r>
          </w:p>
        </w:tc>
      </w:tr>
      <w:tr w:rsidR="007442D2" w:rsidRPr="00B060A3" w14:paraId="66715144" w14:textId="77777777" w:rsidTr="004060B4">
        <w:trPr>
          <w:trHeight w:val="247"/>
        </w:trPr>
        <w:tc>
          <w:tcPr>
            <w:tcW w:w="1838" w:type="dxa"/>
            <w:vAlign w:val="center"/>
          </w:tcPr>
          <w:p w14:paraId="03ED530F" w14:textId="77777777" w:rsidR="007442D2" w:rsidRPr="00B060A3" w:rsidRDefault="007442D2" w:rsidP="007078E3">
            <w:pPr>
              <w:pStyle w:val="Heading2"/>
              <w:numPr>
                <w:ilvl w:val="0"/>
                <w:numId w:val="0"/>
              </w:numPr>
              <w:rPr>
                <w:b w:val="0"/>
                <w:sz w:val="20"/>
              </w:rPr>
            </w:pPr>
            <w:r w:rsidRPr="00B060A3">
              <w:rPr>
                <w:b w:val="0"/>
                <w:sz w:val="20"/>
              </w:rPr>
              <w:t>3.4</w:t>
            </w:r>
            <w:r>
              <w:rPr>
                <w:b w:val="0"/>
                <w:sz w:val="20"/>
              </w:rPr>
              <w:t>.</w:t>
            </w:r>
            <w:r w:rsidRPr="00B060A3">
              <w:rPr>
                <w:b w:val="0"/>
                <w:sz w:val="20"/>
              </w:rPr>
              <w:t xml:space="preserve"> Total ore pe semestru – forma</w:t>
            </w:r>
            <w:r w:rsidRPr="002C53BC">
              <w:rPr>
                <w:b w:val="0"/>
                <w:sz w:val="20"/>
              </w:rPr>
              <w:t xml:space="preserve"> </w:t>
            </w:r>
            <w:r>
              <w:rPr>
                <w:b w:val="0"/>
                <w:sz w:val="20"/>
              </w:rPr>
              <w:t>Învățământ la distanță</w:t>
            </w:r>
          </w:p>
        </w:tc>
        <w:tc>
          <w:tcPr>
            <w:tcW w:w="567" w:type="dxa"/>
            <w:vAlign w:val="center"/>
          </w:tcPr>
          <w:p w14:paraId="4298210B" w14:textId="7628E2FD" w:rsidR="007442D2" w:rsidRPr="004060B4" w:rsidRDefault="004060B4" w:rsidP="007078E3">
            <w:pPr>
              <w:jc w:val="center"/>
              <w:rPr>
                <w:b/>
                <w:bCs/>
                <w:lang w:val="ro-RO"/>
              </w:rPr>
            </w:pPr>
            <w:r w:rsidRPr="004060B4">
              <w:rPr>
                <w:b/>
                <w:bCs/>
                <w:lang w:val="ro-RO"/>
              </w:rPr>
              <w:t>100</w:t>
            </w:r>
          </w:p>
        </w:tc>
        <w:tc>
          <w:tcPr>
            <w:tcW w:w="1370" w:type="dxa"/>
            <w:gridSpan w:val="2"/>
            <w:vAlign w:val="center"/>
          </w:tcPr>
          <w:p w14:paraId="61387E7B" w14:textId="77777777" w:rsidR="007442D2" w:rsidRDefault="007442D2" w:rsidP="007078E3">
            <w:pPr>
              <w:rPr>
                <w:b/>
                <w:lang w:val="ro-RO"/>
              </w:rPr>
            </w:pPr>
            <w:r w:rsidRPr="00E262B0">
              <w:rPr>
                <w:bCs/>
                <w:lang w:val="ro-RO"/>
              </w:rPr>
              <w:t>din care: 3.5</w:t>
            </w:r>
            <w:r>
              <w:rPr>
                <w:bCs/>
                <w:lang w:val="ro-RO"/>
              </w:rPr>
              <w:t>.</w:t>
            </w:r>
            <w:r w:rsidRPr="00B060A3">
              <w:rPr>
                <w:b/>
                <w:lang w:val="ro-RO"/>
              </w:rPr>
              <w:t xml:space="preserve"> </w:t>
            </w:r>
            <w:r w:rsidRPr="002C53BC">
              <w:rPr>
                <w:lang w:val="ro-RO"/>
              </w:rPr>
              <w:t>SI</w:t>
            </w:r>
          </w:p>
          <w:p w14:paraId="4F592C91" w14:textId="591C0426" w:rsidR="007442D2" w:rsidRPr="004060B4" w:rsidRDefault="007442D2" w:rsidP="007078E3">
            <w:pPr>
              <w:rPr>
                <w:b/>
                <w:bCs/>
                <w:color w:val="FF0000"/>
                <w:sz w:val="18"/>
                <w:szCs w:val="18"/>
                <w:lang w:val="ro-RO"/>
              </w:rPr>
            </w:pPr>
            <w:r w:rsidRPr="004060B4">
              <w:rPr>
                <w:b/>
                <w:bCs/>
                <w:sz w:val="18"/>
                <w:szCs w:val="18"/>
                <w:lang w:val="ro-RO"/>
              </w:rPr>
              <w:t xml:space="preserve"> </w:t>
            </w:r>
          </w:p>
        </w:tc>
        <w:tc>
          <w:tcPr>
            <w:tcW w:w="450" w:type="dxa"/>
          </w:tcPr>
          <w:p w14:paraId="2B0FA87E" w14:textId="305BC482" w:rsidR="007442D2" w:rsidRPr="004060B4" w:rsidRDefault="004060B4" w:rsidP="007078E3">
            <w:pPr>
              <w:rPr>
                <w:b/>
                <w:bCs/>
              </w:rPr>
            </w:pPr>
            <w:r w:rsidRPr="004060B4">
              <w:rPr>
                <w:b/>
                <w:bCs/>
              </w:rPr>
              <w:t>6</w:t>
            </w:r>
            <w:r>
              <w:rPr>
                <w:b/>
                <w:bCs/>
              </w:rPr>
              <w:t>4</w:t>
            </w:r>
          </w:p>
        </w:tc>
        <w:tc>
          <w:tcPr>
            <w:tcW w:w="2070" w:type="dxa"/>
          </w:tcPr>
          <w:p w14:paraId="12BFC03E" w14:textId="77777777" w:rsidR="007442D2" w:rsidRDefault="007442D2" w:rsidP="007078E3">
            <w:r w:rsidRPr="00070098">
              <w:t>AI=</w:t>
            </w:r>
            <w:r w:rsidRPr="00070098">
              <w:rPr>
                <w:lang w:val="ro-RO"/>
              </w:rPr>
              <w:t>Nr.ore curs  IF x nr. săptămâni</w:t>
            </w:r>
          </w:p>
        </w:tc>
        <w:tc>
          <w:tcPr>
            <w:tcW w:w="450" w:type="dxa"/>
          </w:tcPr>
          <w:p w14:paraId="613ED586" w14:textId="32D76942" w:rsidR="007442D2" w:rsidRPr="004060B4" w:rsidRDefault="004060B4" w:rsidP="007078E3">
            <w:pPr>
              <w:rPr>
                <w:b/>
                <w:bCs/>
              </w:rPr>
            </w:pPr>
            <w:r w:rsidRPr="004060B4">
              <w:rPr>
                <w:b/>
                <w:bCs/>
              </w:rPr>
              <w:t>24</w:t>
            </w:r>
          </w:p>
        </w:tc>
        <w:tc>
          <w:tcPr>
            <w:tcW w:w="2610" w:type="dxa"/>
            <w:vAlign w:val="center"/>
          </w:tcPr>
          <w:p w14:paraId="42926F10" w14:textId="42FA1ABB" w:rsidR="007442D2" w:rsidRPr="00B060A3" w:rsidRDefault="007442D2" w:rsidP="007078E3">
            <w:pPr>
              <w:pStyle w:val="Heading2"/>
              <w:numPr>
                <w:ilvl w:val="0"/>
                <w:numId w:val="0"/>
              </w:numPr>
              <w:rPr>
                <w:b w:val="0"/>
                <w:sz w:val="20"/>
              </w:rPr>
            </w:pPr>
            <w:r w:rsidRPr="00B060A3">
              <w:rPr>
                <w:b w:val="0"/>
                <w:sz w:val="20"/>
              </w:rPr>
              <w:t>3.6</w:t>
            </w:r>
            <w:r>
              <w:rPr>
                <w:b w:val="0"/>
                <w:sz w:val="20"/>
              </w:rPr>
              <w:t>.</w:t>
            </w:r>
            <w:r w:rsidRPr="00B060A3">
              <w:rPr>
                <w:b w:val="0"/>
                <w:sz w:val="20"/>
              </w:rPr>
              <w:t xml:space="preserve"> </w:t>
            </w:r>
            <w:r w:rsidRPr="002C53BC">
              <w:rPr>
                <w:b w:val="0"/>
                <w:bCs/>
                <w:sz w:val="20"/>
              </w:rPr>
              <w:t>AT</w:t>
            </w:r>
            <w:r>
              <w:rPr>
                <w:b w:val="0"/>
                <w:bCs/>
                <w:sz w:val="20"/>
              </w:rPr>
              <w:t xml:space="preserve"> (</w:t>
            </w:r>
            <w:r w:rsidRPr="00D30996">
              <w:rPr>
                <w:b w:val="0"/>
                <w:bCs/>
                <w:color w:val="FF0000"/>
                <w:sz w:val="20"/>
              </w:rPr>
              <w:t xml:space="preserve"> </w:t>
            </w:r>
            <w:r w:rsidR="004060B4" w:rsidRPr="006835D9">
              <w:rPr>
                <w:b w:val="0"/>
                <w:bCs/>
                <w:sz w:val="20"/>
              </w:rPr>
              <w:t>3</w:t>
            </w:r>
            <w:r>
              <w:rPr>
                <w:b w:val="0"/>
                <w:bCs/>
                <w:sz w:val="20"/>
              </w:rPr>
              <w:t>)</w:t>
            </w:r>
            <w:r w:rsidRPr="002C53BC">
              <w:rPr>
                <w:b w:val="0"/>
                <w:bCs/>
                <w:sz w:val="20"/>
              </w:rPr>
              <w:t xml:space="preserve"> + TC</w:t>
            </w:r>
            <w:r>
              <w:rPr>
                <w:b w:val="0"/>
                <w:bCs/>
                <w:sz w:val="20"/>
              </w:rPr>
              <w:t xml:space="preserve"> (</w:t>
            </w:r>
            <w:r w:rsidRPr="00D30996">
              <w:rPr>
                <w:b w:val="0"/>
                <w:bCs/>
                <w:color w:val="FF0000"/>
                <w:sz w:val="20"/>
              </w:rPr>
              <w:t xml:space="preserve"> </w:t>
            </w:r>
            <w:r w:rsidR="004060B4" w:rsidRPr="006835D9">
              <w:rPr>
                <w:b w:val="0"/>
                <w:bCs/>
                <w:sz w:val="20"/>
              </w:rPr>
              <w:t>9</w:t>
            </w:r>
            <w:r>
              <w:rPr>
                <w:b w:val="0"/>
                <w:bCs/>
                <w:sz w:val="20"/>
              </w:rPr>
              <w:t xml:space="preserve">) + </w:t>
            </w:r>
            <w:r w:rsidRPr="002C53BC">
              <w:rPr>
                <w:b w:val="0"/>
                <w:bCs/>
                <w:sz w:val="20"/>
              </w:rPr>
              <w:t>AA</w:t>
            </w:r>
            <w:r>
              <w:rPr>
                <w:b w:val="0"/>
                <w:bCs/>
                <w:sz w:val="20"/>
              </w:rPr>
              <w:t xml:space="preserve"> (</w:t>
            </w:r>
            <w:r w:rsidRPr="00D30996">
              <w:rPr>
                <w:b w:val="0"/>
                <w:bCs/>
                <w:color w:val="FF0000"/>
                <w:sz w:val="20"/>
              </w:rPr>
              <w:t xml:space="preserve"> </w:t>
            </w:r>
            <w:r w:rsidR="004060B4" w:rsidRPr="006835D9">
              <w:rPr>
                <w:b w:val="0"/>
                <w:bCs/>
                <w:sz w:val="20"/>
              </w:rPr>
              <w:t>0</w:t>
            </w:r>
            <w:r>
              <w:rPr>
                <w:b w:val="0"/>
                <w:bCs/>
                <w:sz w:val="20"/>
              </w:rPr>
              <w:t>)</w:t>
            </w:r>
          </w:p>
        </w:tc>
        <w:tc>
          <w:tcPr>
            <w:tcW w:w="540" w:type="dxa"/>
            <w:vAlign w:val="center"/>
          </w:tcPr>
          <w:p w14:paraId="06BB9C8C" w14:textId="28D6AB53" w:rsidR="007442D2" w:rsidRPr="00B060A3" w:rsidRDefault="004060B4" w:rsidP="007078E3">
            <w:pPr>
              <w:pStyle w:val="Heading2"/>
              <w:numPr>
                <w:ilvl w:val="0"/>
                <w:numId w:val="0"/>
              </w:numPr>
              <w:jc w:val="center"/>
              <w:rPr>
                <w:sz w:val="20"/>
              </w:rPr>
            </w:pPr>
            <w:r>
              <w:rPr>
                <w:sz w:val="20"/>
              </w:rPr>
              <w:t>12</w:t>
            </w:r>
          </w:p>
        </w:tc>
      </w:tr>
      <w:tr w:rsidR="00F71070" w:rsidRPr="00B060A3" w14:paraId="41F1DD43" w14:textId="77777777" w:rsidTr="00E40EC4">
        <w:trPr>
          <w:trHeight w:val="247"/>
        </w:trPr>
        <w:tc>
          <w:tcPr>
            <w:tcW w:w="9355" w:type="dxa"/>
            <w:gridSpan w:val="8"/>
          </w:tcPr>
          <w:p w14:paraId="6967EBA0" w14:textId="1ADF941C" w:rsidR="00F71070" w:rsidRPr="007A1739" w:rsidRDefault="00F71070" w:rsidP="00C1331A">
            <w:pPr>
              <w:pStyle w:val="Heading2"/>
              <w:numPr>
                <w:ilvl w:val="0"/>
                <w:numId w:val="0"/>
              </w:numPr>
              <w:rPr>
                <w:sz w:val="20"/>
              </w:rPr>
            </w:pPr>
            <w:r w:rsidRPr="00B060A3">
              <w:rPr>
                <w:sz w:val="20"/>
              </w:rPr>
              <w:t>Distribuţia fondului de timp</w:t>
            </w:r>
            <w:r>
              <w:rPr>
                <w:sz w:val="20"/>
              </w:rPr>
              <w:t xml:space="preserve"> pentru studiul individual (SI) și activități de autoinstruire (AI)</w:t>
            </w:r>
          </w:p>
        </w:tc>
        <w:tc>
          <w:tcPr>
            <w:tcW w:w="540" w:type="dxa"/>
            <w:vAlign w:val="center"/>
          </w:tcPr>
          <w:p w14:paraId="52C746BF" w14:textId="20BEC038" w:rsidR="00F71070" w:rsidRPr="00B060A3" w:rsidRDefault="004060B4" w:rsidP="00C1331A">
            <w:pPr>
              <w:pStyle w:val="Heading2"/>
              <w:numPr>
                <w:ilvl w:val="0"/>
                <w:numId w:val="0"/>
              </w:numPr>
              <w:jc w:val="center"/>
              <w:rPr>
                <w:sz w:val="20"/>
              </w:rPr>
            </w:pPr>
            <w:r>
              <w:rPr>
                <w:sz w:val="20"/>
              </w:rPr>
              <w:t xml:space="preserve">88 </w:t>
            </w:r>
            <w:r w:rsidR="00F71070" w:rsidRPr="00B060A3">
              <w:rPr>
                <w:sz w:val="20"/>
              </w:rPr>
              <w:t>ore</w:t>
            </w:r>
          </w:p>
        </w:tc>
      </w:tr>
      <w:tr w:rsidR="00F71070" w:rsidRPr="004060B4" w14:paraId="32B464C4" w14:textId="77777777" w:rsidTr="001624E1">
        <w:trPr>
          <w:trHeight w:val="247"/>
        </w:trPr>
        <w:tc>
          <w:tcPr>
            <w:tcW w:w="9355" w:type="dxa"/>
            <w:gridSpan w:val="8"/>
          </w:tcPr>
          <w:p w14:paraId="76C21EF1" w14:textId="77777777" w:rsidR="00F71070" w:rsidRPr="006835D9" w:rsidRDefault="00F71070" w:rsidP="0006438C">
            <w:pPr>
              <w:rPr>
                <w:b/>
                <w:lang w:val="ro-RO"/>
              </w:rPr>
            </w:pPr>
            <w:r w:rsidRPr="006835D9">
              <w:rPr>
                <w:lang w:val="ro-RO"/>
              </w:rPr>
              <w:t>3.5.1. Studiul după manual, suport de curs, bibliografie şi notiţe (AI)</w:t>
            </w:r>
          </w:p>
        </w:tc>
        <w:tc>
          <w:tcPr>
            <w:tcW w:w="540" w:type="dxa"/>
          </w:tcPr>
          <w:p w14:paraId="1029E7F5" w14:textId="6E886B4F" w:rsidR="00F71070" w:rsidRPr="00B060A3" w:rsidRDefault="004060B4" w:rsidP="004060B4">
            <w:pPr>
              <w:pStyle w:val="Heading2"/>
              <w:numPr>
                <w:ilvl w:val="0"/>
                <w:numId w:val="0"/>
              </w:numPr>
              <w:jc w:val="center"/>
              <w:rPr>
                <w:b w:val="0"/>
                <w:sz w:val="20"/>
              </w:rPr>
            </w:pPr>
            <w:r>
              <w:rPr>
                <w:b w:val="0"/>
                <w:sz w:val="20"/>
              </w:rPr>
              <w:t>28</w:t>
            </w:r>
          </w:p>
        </w:tc>
      </w:tr>
      <w:tr w:rsidR="00F71070" w:rsidRPr="004060B4" w14:paraId="0FABE85F" w14:textId="77777777" w:rsidTr="00F70CE6">
        <w:trPr>
          <w:trHeight w:val="247"/>
        </w:trPr>
        <w:tc>
          <w:tcPr>
            <w:tcW w:w="9355" w:type="dxa"/>
            <w:gridSpan w:val="8"/>
          </w:tcPr>
          <w:p w14:paraId="4D8A86F9" w14:textId="77777777" w:rsidR="00F71070" w:rsidRPr="00B060A3" w:rsidRDefault="00F71070" w:rsidP="00C1331A">
            <w:pPr>
              <w:pStyle w:val="Heading2"/>
              <w:numPr>
                <w:ilvl w:val="0"/>
                <w:numId w:val="0"/>
              </w:numPr>
              <w:rPr>
                <w:b w:val="0"/>
                <w:sz w:val="20"/>
              </w:rPr>
            </w:pPr>
            <w:r>
              <w:rPr>
                <w:b w:val="0"/>
                <w:sz w:val="20"/>
              </w:rPr>
              <w:t xml:space="preserve">3.5.2. </w:t>
            </w:r>
            <w:r w:rsidRPr="00B060A3">
              <w:rPr>
                <w:b w:val="0"/>
                <w:sz w:val="20"/>
              </w:rPr>
              <w:t>Documentare suplimentară în bibliotecă, pe platformele electronice de specialitate şi pe teren</w:t>
            </w:r>
          </w:p>
        </w:tc>
        <w:tc>
          <w:tcPr>
            <w:tcW w:w="540" w:type="dxa"/>
          </w:tcPr>
          <w:p w14:paraId="5668DB24" w14:textId="754E3088" w:rsidR="00F71070" w:rsidRPr="00B060A3" w:rsidRDefault="004060B4" w:rsidP="00C1331A">
            <w:pPr>
              <w:pStyle w:val="Heading2"/>
              <w:numPr>
                <w:ilvl w:val="0"/>
                <w:numId w:val="0"/>
              </w:numPr>
              <w:jc w:val="center"/>
              <w:rPr>
                <w:b w:val="0"/>
                <w:sz w:val="20"/>
              </w:rPr>
            </w:pPr>
            <w:r>
              <w:rPr>
                <w:b w:val="0"/>
                <w:sz w:val="20"/>
              </w:rPr>
              <w:t>24</w:t>
            </w:r>
          </w:p>
        </w:tc>
      </w:tr>
      <w:tr w:rsidR="00F71070" w:rsidRPr="004060B4" w14:paraId="265370C5" w14:textId="77777777" w:rsidTr="00E810C2">
        <w:trPr>
          <w:trHeight w:val="247"/>
        </w:trPr>
        <w:tc>
          <w:tcPr>
            <w:tcW w:w="9355" w:type="dxa"/>
            <w:gridSpan w:val="8"/>
          </w:tcPr>
          <w:p w14:paraId="50FE3464" w14:textId="0E41A827" w:rsidR="00F71070" w:rsidRPr="00890EB2" w:rsidRDefault="00F71070" w:rsidP="00976102">
            <w:pPr>
              <w:pStyle w:val="Heading2"/>
              <w:numPr>
                <w:ilvl w:val="0"/>
                <w:numId w:val="0"/>
              </w:numPr>
              <w:rPr>
                <w:b w:val="0"/>
                <w:color w:val="FF0000"/>
                <w:sz w:val="20"/>
              </w:rPr>
            </w:pPr>
            <w:r>
              <w:rPr>
                <w:b w:val="0"/>
                <w:sz w:val="20"/>
              </w:rPr>
              <w:t>3.5.3. Pregătire seminare</w:t>
            </w:r>
            <w:r w:rsidRPr="00B060A3">
              <w:rPr>
                <w:b w:val="0"/>
                <w:sz w:val="20"/>
              </w:rPr>
              <w:t>/ laboratoare/ proiecte, teme, referate, portofolii şi eseuri</w:t>
            </w:r>
            <w:r>
              <w:rPr>
                <w:b w:val="0"/>
                <w:sz w:val="20"/>
              </w:rPr>
              <w:t xml:space="preserve"> </w:t>
            </w:r>
          </w:p>
        </w:tc>
        <w:tc>
          <w:tcPr>
            <w:tcW w:w="540" w:type="dxa"/>
          </w:tcPr>
          <w:p w14:paraId="432CBCCA" w14:textId="2A4AAE75" w:rsidR="00F71070" w:rsidRPr="00B060A3" w:rsidRDefault="004060B4" w:rsidP="00C1331A">
            <w:pPr>
              <w:pStyle w:val="Heading2"/>
              <w:numPr>
                <w:ilvl w:val="0"/>
                <w:numId w:val="0"/>
              </w:numPr>
              <w:jc w:val="center"/>
              <w:rPr>
                <w:b w:val="0"/>
                <w:sz w:val="20"/>
              </w:rPr>
            </w:pPr>
            <w:r>
              <w:rPr>
                <w:b w:val="0"/>
                <w:sz w:val="20"/>
              </w:rPr>
              <w:t>30</w:t>
            </w:r>
          </w:p>
        </w:tc>
      </w:tr>
      <w:tr w:rsidR="00F71070" w:rsidRPr="00B060A3" w14:paraId="419D0AB8" w14:textId="77777777" w:rsidTr="00863769">
        <w:trPr>
          <w:trHeight w:val="247"/>
        </w:trPr>
        <w:tc>
          <w:tcPr>
            <w:tcW w:w="9355" w:type="dxa"/>
            <w:gridSpan w:val="8"/>
          </w:tcPr>
          <w:p w14:paraId="6A19F1CE" w14:textId="77777777" w:rsidR="00F71070" w:rsidRPr="00F018C0" w:rsidRDefault="00F71070" w:rsidP="00976102">
            <w:pPr>
              <w:pStyle w:val="Heading2"/>
              <w:numPr>
                <w:ilvl w:val="0"/>
                <w:numId w:val="0"/>
              </w:numPr>
              <w:rPr>
                <w:b w:val="0"/>
                <w:sz w:val="20"/>
                <w:lang w:val="en-US"/>
              </w:rPr>
            </w:pPr>
            <w:r>
              <w:rPr>
                <w:b w:val="0"/>
                <w:sz w:val="20"/>
              </w:rPr>
              <w:t>3.5.4.</w:t>
            </w:r>
            <w:r w:rsidRPr="00976102">
              <w:rPr>
                <w:b w:val="0"/>
                <w:sz w:val="20"/>
              </w:rPr>
              <w:t>Tutoriat</w:t>
            </w:r>
            <w:r>
              <w:rPr>
                <w:b w:val="0"/>
                <w:sz w:val="20"/>
              </w:rPr>
              <w:t xml:space="preserve"> (</w:t>
            </w:r>
            <w:r w:rsidRPr="00976102">
              <w:rPr>
                <w:b w:val="0"/>
                <w:sz w:val="20"/>
              </w:rPr>
              <w:t>consiliere profesională</w:t>
            </w:r>
            <w:r>
              <w:rPr>
                <w:b w:val="0"/>
                <w:sz w:val="20"/>
              </w:rPr>
              <w:t>)</w:t>
            </w:r>
          </w:p>
        </w:tc>
        <w:tc>
          <w:tcPr>
            <w:tcW w:w="540" w:type="dxa"/>
          </w:tcPr>
          <w:p w14:paraId="005E6D8B" w14:textId="77777777" w:rsidR="00F71070" w:rsidRPr="00B060A3" w:rsidRDefault="00F71070" w:rsidP="00C1331A">
            <w:pPr>
              <w:pStyle w:val="Heading2"/>
              <w:numPr>
                <w:ilvl w:val="0"/>
                <w:numId w:val="0"/>
              </w:numPr>
              <w:jc w:val="center"/>
              <w:rPr>
                <w:b w:val="0"/>
                <w:sz w:val="20"/>
              </w:rPr>
            </w:pPr>
            <w:r>
              <w:rPr>
                <w:b w:val="0"/>
                <w:sz w:val="20"/>
              </w:rPr>
              <w:t>2</w:t>
            </w:r>
          </w:p>
        </w:tc>
      </w:tr>
      <w:tr w:rsidR="00F71070" w:rsidRPr="00B060A3" w14:paraId="67DB4369" w14:textId="77777777" w:rsidTr="00341760">
        <w:trPr>
          <w:trHeight w:val="247"/>
        </w:trPr>
        <w:tc>
          <w:tcPr>
            <w:tcW w:w="9355" w:type="dxa"/>
            <w:gridSpan w:val="8"/>
          </w:tcPr>
          <w:p w14:paraId="40B1088A" w14:textId="77777777" w:rsidR="00F71070" w:rsidRPr="00B060A3" w:rsidRDefault="00F71070" w:rsidP="00C1331A">
            <w:pPr>
              <w:pStyle w:val="Heading2"/>
              <w:numPr>
                <w:ilvl w:val="0"/>
                <w:numId w:val="0"/>
              </w:numPr>
              <w:rPr>
                <w:b w:val="0"/>
                <w:sz w:val="20"/>
              </w:rPr>
            </w:pPr>
            <w:r>
              <w:rPr>
                <w:b w:val="0"/>
                <w:sz w:val="20"/>
              </w:rPr>
              <w:t>3.5.5.</w:t>
            </w:r>
            <w:r w:rsidRPr="00B060A3">
              <w:rPr>
                <w:b w:val="0"/>
                <w:sz w:val="20"/>
              </w:rPr>
              <w:t>Examinări</w:t>
            </w:r>
          </w:p>
        </w:tc>
        <w:tc>
          <w:tcPr>
            <w:tcW w:w="540" w:type="dxa"/>
          </w:tcPr>
          <w:p w14:paraId="62A17A3C" w14:textId="77777777" w:rsidR="00F71070" w:rsidRPr="00B060A3" w:rsidRDefault="00F71070" w:rsidP="00C1331A">
            <w:pPr>
              <w:pStyle w:val="Heading2"/>
              <w:numPr>
                <w:ilvl w:val="0"/>
                <w:numId w:val="0"/>
              </w:numPr>
              <w:jc w:val="center"/>
              <w:rPr>
                <w:b w:val="0"/>
                <w:sz w:val="20"/>
              </w:rPr>
            </w:pPr>
            <w:r>
              <w:rPr>
                <w:b w:val="0"/>
                <w:sz w:val="20"/>
              </w:rPr>
              <w:t>2</w:t>
            </w:r>
          </w:p>
        </w:tc>
      </w:tr>
      <w:tr w:rsidR="00F71070" w:rsidRPr="00976102" w14:paraId="79E12988" w14:textId="77777777" w:rsidTr="00B56683">
        <w:trPr>
          <w:trHeight w:val="247"/>
        </w:trPr>
        <w:tc>
          <w:tcPr>
            <w:tcW w:w="9355" w:type="dxa"/>
            <w:gridSpan w:val="8"/>
          </w:tcPr>
          <w:p w14:paraId="61B5F766" w14:textId="76FD7D16" w:rsidR="00F71070" w:rsidRPr="00B060A3" w:rsidRDefault="00F71070" w:rsidP="00976102">
            <w:pPr>
              <w:pStyle w:val="Heading2"/>
              <w:numPr>
                <w:ilvl w:val="0"/>
                <w:numId w:val="0"/>
              </w:numPr>
              <w:rPr>
                <w:b w:val="0"/>
                <w:sz w:val="20"/>
              </w:rPr>
            </w:pPr>
            <w:r>
              <w:rPr>
                <w:b w:val="0"/>
                <w:sz w:val="20"/>
              </w:rPr>
              <w:t xml:space="preserve">3.5.6. </w:t>
            </w:r>
            <w:r w:rsidRPr="00B060A3">
              <w:rPr>
                <w:b w:val="0"/>
                <w:sz w:val="20"/>
              </w:rPr>
              <w:t>Alte activităţ</w:t>
            </w:r>
            <w:r>
              <w:rPr>
                <w:b w:val="0"/>
                <w:sz w:val="20"/>
              </w:rPr>
              <w:t xml:space="preserve">i </w:t>
            </w:r>
          </w:p>
        </w:tc>
        <w:tc>
          <w:tcPr>
            <w:tcW w:w="540" w:type="dxa"/>
            <w:vAlign w:val="center"/>
          </w:tcPr>
          <w:p w14:paraId="1CE0DF3F" w14:textId="77777777" w:rsidR="00F71070" w:rsidRPr="00B060A3" w:rsidRDefault="00F71070" w:rsidP="00C1331A">
            <w:pPr>
              <w:pStyle w:val="Heading2"/>
              <w:numPr>
                <w:ilvl w:val="0"/>
                <w:numId w:val="0"/>
              </w:numPr>
              <w:jc w:val="center"/>
              <w:rPr>
                <w:b w:val="0"/>
                <w:sz w:val="20"/>
              </w:rPr>
            </w:pPr>
            <w:r>
              <w:rPr>
                <w:b w:val="0"/>
                <w:sz w:val="20"/>
              </w:rPr>
              <w:t>2</w:t>
            </w:r>
          </w:p>
        </w:tc>
      </w:tr>
      <w:tr w:rsidR="007442D2" w:rsidRPr="004060B4" w14:paraId="4BA29E2B" w14:textId="77777777" w:rsidTr="004060B4">
        <w:trPr>
          <w:gridAfter w:val="6"/>
          <w:wAfter w:w="7470" w:type="dxa"/>
          <w:trHeight w:val="247"/>
        </w:trPr>
        <w:tc>
          <w:tcPr>
            <w:tcW w:w="1838" w:type="dxa"/>
          </w:tcPr>
          <w:p w14:paraId="4E0348B5" w14:textId="77777777" w:rsidR="007442D2" w:rsidRPr="00976102" w:rsidRDefault="007442D2" w:rsidP="00C1331A">
            <w:pPr>
              <w:pStyle w:val="Heading2"/>
              <w:numPr>
                <w:ilvl w:val="0"/>
                <w:numId w:val="0"/>
              </w:numPr>
              <w:rPr>
                <w:sz w:val="20"/>
              </w:rPr>
            </w:pPr>
            <w:r w:rsidRPr="00976102">
              <w:rPr>
                <w:sz w:val="20"/>
              </w:rPr>
              <w:t>3.7. Total ore studiu individual</w:t>
            </w:r>
            <w:r w:rsidR="00F71070">
              <w:rPr>
                <w:sz w:val="20"/>
              </w:rPr>
              <w:t xml:space="preserve"> (SI) și activități de autoinstruire (AI)</w:t>
            </w:r>
          </w:p>
        </w:tc>
        <w:tc>
          <w:tcPr>
            <w:tcW w:w="587" w:type="dxa"/>
            <w:gridSpan w:val="2"/>
            <w:vAlign w:val="center"/>
          </w:tcPr>
          <w:p w14:paraId="6F091CCC" w14:textId="61AC8C72" w:rsidR="007442D2" w:rsidRPr="00976102" w:rsidRDefault="004060B4" w:rsidP="00C1331A">
            <w:pPr>
              <w:pStyle w:val="Heading2"/>
              <w:numPr>
                <w:ilvl w:val="0"/>
                <w:numId w:val="0"/>
              </w:numPr>
              <w:jc w:val="center"/>
              <w:rPr>
                <w:sz w:val="20"/>
              </w:rPr>
            </w:pPr>
            <w:r>
              <w:rPr>
                <w:sz w:val="20"/>
              </w:rPr>
              <w:t>88</w:t>
            </w:r>
          </w:p>
        </w:tc>
      </w:tr>
      <w:tr w:rsidR="007442D2" w:rsidRPr="00976102" w14:paraId="66A3DFF5" w14:textId="77777777" w:rsidTr="004060B4">
        <w:trPr>
          <w:gridAfter w:val="6"/>
          <w:wAfter w:w="7470" w:type="dxa"/>
          <w:trHeight w:val="247"/>
        </w:trPr>
        <w:tc>
          <w:tcPr>
            <w:tcW w:w="1838" w:type="dxa"/>
          </w:tcPr>
          <w:p w14:paraId="389AAC5E" w14:textId="77777777" w:rsidR="007442D2" w:rsidRPr="007A1739" w:rsidRDefault="007442D2" w:rsidP="007A1739">
            <w:pPr>
              <w:pStyle w:val="Heading2"/>
              <w:numPr>
                <w:ilvl w:val="0"/>
                <w:numId w:val="0"/>
              </w:numPr>
              <w:rPr>
                <w:sz w:val="20"/>
              </w:rPr>
            </w:pPr>
            <w:r w:rsidRPr="00976102">
              <w:rPr>
                <w:sz w:val="20"/>
              </w:rPr>
              <w:t>3.8. Total ore pe semestru</w:t>
            </w:r>
            <w:r>
              <w:rPr>
                <w:sz w:val="20"/>
              </w:rPr>
              <w:t xml:space="preserve"> </w:t>
            </w:r>
            <w:r w:rsidRPr="007A1739">
              <w:rPr>
                <w:b w:val="0"/>
                <w:sz w:val="20"/>
              </w:rPr>
              <w:t>(</w:t>
            </w:r>
            <w:r>
              <w:rPr>
                <w:b w:val="0"/>
                <w:sz w:val="20"/>
              </w:rPr>
              <w:t>număr ECTS x 25 de ore</w:t>
            </w:r>
            <w:r w:rsidRPr="007A1739">
              <w:rPr>
                <w:b w:val="0"/>
                <w:sz w:val="20"/>
              </w:rPr>
              <w:t>)</w:t>
            </w:r>
          </w:p>
        </w:tc>
        <w:tc>
          <w:tcPr>
            <w:tcW w:w="587" w:type="dxa"/>
            <w:gridSpan w:val="2"/>
          </w:tcPr>
          <w:p w14:paraId="20D35656" w14:textId="1086A717" w:rsidR="007442D2" w:rsidRPr="00976102" w:rsidRDefault="004060B4" w:rsidP="00C1331A">
            <w:pPr>
              <w:pStyle w:val="Heading2"/>
              <w:numPr>
                <w:ilvl w:val="0"/>
                <w:numId w:val="0"/>
              </w:numPr>
              <w:rPr>
                <w:bCs/>
                <w:sz w:val="20"/>
              </w:rPr>
            </w:pPr>
            <w:r>
              <w:rPr>
                <w:bCs/>
                <w:sz w:val="20"/>
              </w:rPr>
              <w:t>100</w:t>
            </w:r>
          </w:p>
        </w:tc>
      </w:tr>
      <w:tr w:rsidR="007442D2" w:rsidRPr="00976102" w14:paraId="37EF219C" w14:textId="77777777" w:rsidTr="004060B4">
        <w:trPr>
          <w:gridAfter w:val="6"/>
          <w:wAfter w:w="7470" w:type="dxa"/>
          <w:trHeight w:val="247"/>
        </w:trPr>
        <w:tc>
          <w:tcPr>
            <w:tcW w:w="1838" w:type="dxa"/>
          </w:tcPr>
          <w:p w14:paraId="37D3951E" w14:textId="77777777" w:rsidR="007442D2" w:rsidRPr="00976102" w:rsidRDefault="007442D2" w:rsidP="00C1331A">
            <w:pPr>
              <w:pStyle w:val="Heading2"/>
              <w:numPr>
                <w:ilvl w:val="0"/>
                <w:numId w:val="0"/>
              </w:numPr>
              <w:rPr>
                <w:sz w:val="20"/>
                <w:vertAlign w:val="superscript"/>
              </w:rPr>
            </w:pPr>
            <w:r w:rsidRPr="00976102">
              <w:rPr>
                <w:sz w:val="20"/>
              </w:rPr>
              <w:t>3.9. Numărul de credite</w:t>
            </w:r>
          </w:p>
        </w:tc>
        <w:tc>
          <w:tcPr>
            <w:tcW w:w="587" w:type="dxa"/>
            <w:gridSpan w:val="2"/>
          </w:tcPr>
          <w:p w14:paraId="4B0C74F1" w14:textId="260C113E" w:rsidR="007442D2" w:rsidRPr="00976102" w:rsidRDefault="004060B4" w:rsidP="00C1331A">
            <w:pPr>
              <w:pStyle w:val="Heading2"/>
              <w:numPr>
                <w:ilvl w:val="0"/>
                <w:numId w:val="0"/>
              </w:numPr>
              <w:rPr>
                <w:sz w:val="20"/>
              </w:rPr>
            </w:pPr>
            <w:r>
              <w:rPr>
                <w:sz w:val="20"/>
              </w:rPr>
              <w:t>4</w:t>
            </w:r>
          </w:p>
        </w:tc>
      </w:tr>
    </w:tbl>
    <w:p w14:paraId="6BE93243" w14:textId="77777777" w:rsidR="00DF5C86" w:rsidRPr="00976102" w:rsidRDefault="00DF5C86" w:rsidP="00DF5C86">
      <w:pPr>
        <w:ind w:right="-874"/>
        <w:jc w:val="both"/>
        <w:rPr>
          <w:b/>
          <w:bCs/>
          <w:lang w:val="ro-RO"/>
        </w:rPr>
      </w:pPr>
    </w:p>
    <w:p w14:paraId="6C3A3750" w14:textId="77777777" w:rsidR="00DF5C86" w:rsidRPr="00B060A3" w:rsidRDefault="00DF5C86" w:rsidP="00DF5C86">
      <w:pPr>
        <w:rPr>
          <w:lang w:val="ro-RO"/>
        </w:rPr>
      </w:pPr>
      <w:r w:rsidRPr="00B060A3">
        <w:rPr>
          <w:b/>
          <w:lang w:val="ro-RO"/>
        </w:rPr>
        <w:t xml:space="preserve">4. Precondiţii </w:t>
      </w:r>
      <w:r w:rsidRPr="00B060A3">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4060B4" w:rsidRPr="004060B4" w14:paraId="38F851B0" w14:textId="77777777" w:rsidTr="004060B4">
        <w:tc>
          <w:tcPr>
            <w:tcW w:w="1980" w:type="dxa"/>
          </w:tcPr>
          <w:p w14:paraId="1068E563" w14:textId="77777777" w:rsidR="004060B4" w:rsidRPr="00B060A3" w:rsidRDefault="004060B4" w:rsidP="004060B4">
            <w:pPr>
              <w:rPr>
                <w:lang w:val="ro-RO"/>
              </w:rPr>
            </w:pPr>
            <w:r w:rsidRPr="00B060A3">
              <w:rPr>
                <w:lang w:val="ro-RO"/>
              </w:rPr>
              <w:t>4.1</w:t>
            </w:r>
            <w:r>
              <w:rPr>
                <w:lang w:val="ro-RO"/>
              </w:rPr>
              <w:t>.</w:t>
            </w:r>
            <w:r w:rsidRPr="00B060A3">
              <w:rPr>
                <w:lang w:val="ro-RO"/>
              </w:rPr>
              <w:t xml:space="preserve"> de curriculum</w:t>
            </w:r>
          </w:p>
        </w:tc>
        <w:tc>
          <w:tcPr>
            <w:tcW w:w="7920" w:type="dxa"/>
            <w:vAlign w:val="center"/>
          </w:tcPr>
          <w:p w14:paraId="67EC3946" w14:textId="78387ABF" w:rsidR="004060B4" w:rsidRPr="006835D9" w:rsidRDefault="004060B4" w:rsidP="004060B4">
            <w:pPr>
              <w:ind w:left="72"/>
              <w:rPr>
                <w:color w:val="FF0000"/>
                <w:lang w:val="ro-RO"/>
              </w:rPr>
            </w:pPr>
            <w:r w:rsidRPr="006835D9">
              <w:rPr>
                <w:rFonts w:ascii="Cambria" w:hAnsi="Cambria"/>
                <w:lang w:val="ro-RO"/>
              </w:rPr>
              <w:t>Nu există precondiții, dar este recomandat cursanților înscriși la acest curs parcurgerea în prealabil a întregului modul de drept civil (DLR1104; DLR1204; DLR2108; DLR2213;DLR3115), modulului de drept comercial (Drept comercial I și Drept comercial II) precum și a materiilor opționale din domeniul dreptului privat din anii anteriori.</w:t>
            </w:r>
          </w:p>
        </w:tc>
      </w:tr>
      <w:tr w:rsidR="004060B4" w:rsidRPr="004060B4" w14:paraId="690AB6E7" w14:textId="77777777" w:rsidTr="004060B4">
        <w:tc>
          <w:tcPr>
            <w:tcW w:w="1980" w:type="dxa"/>
          </w:tcPr>
          <w:p w14:paraId="2962ABB9" w14:textId="77777777" w:rsidR="004060B4" w:rsidRPr="00B060A3" w:rsidRDefault="004060B4" w:rsidP="004060B4">
            <w:pPr>
              <w:rPr>
                <w:lang w:val="ro-RO"/>
              </w:rPr>
            </w:pPr>
            <w:r w:rsidRPr="00B060A3">
              <w:rPr>
                <w:lang w:val="ro-RO"/>
              </w:rPr>
              <w:t>4.2</w:t>
            </w:r>
            <w:r>
              <w:rPr>
                <w:lang w:val="ro-RO"/>
              </w:rPr>
              <w:t>.</w:t>
            </w:r>
            <w:r w:rsidRPr="00B060A3">
              <w:rPr>
                <w:lang w:val="ro-RO"/>
              </w:rPr>
              <w:t xml:space="preserve"> de competenţe</w:t>
            </w:r>
          </w:p>
        </w:tc>
        <w:tc>
          <w:tcPr>
            <w:tcW w:w="7920" w:type="dxa"/>
            <w:vAlign w:val="center"/>
          </w:tcPr>
          <w:p w14:paraId="70DE0FA8" w14:textId="29C9F184" w:rsidR="004060B4" w:rsidRPr="006835D9" w:rsidRDefault="004060B4" w:rsidP="004060B4">
            <w:pPr>
              <w:ind w:left="72"/>
              <w:rPr>
                <w:color w:val="FF0000"/>
                <w:lang w:val="ro-RO"/>
              </w:rPr>
            </w:pPr>
            <w:r w:rsidRPr="006835D9">
              <w:rPr>
                <w:rFonts w:ascii="Cambria" w:hAnsi="Cambria"/>
                <w:lang w:val="ro-RO"/>
              </w:rPr>
              <w:t>Nu există precondiții, dar competențe digitale la nivel de utilizator mediu sau superior pot constitui un avantaj.</w:t>
            </w:r>
          </w:p>
        </w:tc>
      </w:tr>
    </w:tbl>
    <w:p w14:paraId="5B17A2DE" w14:textId="77777777" w:rsidR="00DF5C86" w:rsidRPr="00B060A3" w:rsidRDefault="00DF5C86" w:rsidP="00DF5C86">
      <w:pPr>
        <w:rPr>
          <w:b/>
          <w:lang w:val="ro-RO"/>
        </w:rPr>
      </w:pPr>
    </w:p>
    <w:p w14:paraId="34D00E84" w14:textId="77777777" w:rsidR="00DF5C86" w:rsidRPr="00B060A3" w:rsidRDefault="00DF5C86" w:rsidP="00DF5C86">
      <w:pPr>
        <w:rPr>
          <w:lang w:val="ro-RO"/>
        </w:rPr>
      </w:pPr>
      <w:r w:rsidRPr="00B060A3">
        <w:rPr>
          <w:b/>
          <w:lang w:val="ro-RO"/>
        </w:rPr>
        <w:lastRenderedPageBreak/>
        <w:t xml:space="preserve">5. Condiţii </w:t>
      </w:r>
      <w:r w:rsidRPr="00B060A3">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4060B4" w:rsidRPr="00B060A3" w14:paraId="4D09D9A8" w14:textId="77777777" w:rsidTr="004060B4">
        <w:tc>
          <w:tcPr>
            <w:tcW w:w="2977" w:type="dxa"/>
          </w:tcPr>
          <w:p w14:paraId="2CC9BF10" w14:textId="77777777" w:rsidR="004060B4" w:rsidRPr="00B060A3" w:rsidRDefault="004060B4" w:rsidP="004060B4">
            <w:pPr>
              <w:rPr>
                <w:lang w:val="ro-RO"/>
              </w:rPr>
            </w:pPr>
            <w:r w:rsidRPr="00B060A3">
              <w:rPr>
                <w:lang w:val="ro-RO"/>
              </w:rPr>
              <w:t>5.1</w:t>
            </w:r>
            <w:r>
              <w:rPr>
                <w:lang w:val="ro-RO"/>
              </w:rPr>
              <w:t>.</w:t>
            </w:r>
            <w:r w:rsidRPr="00B060A3">
              <w:rPr>
                <w:lang w:val="ro-RO"/>
              </w:rPr>
              <w:t xml:space="preserve"> de desfăşurare a cursului</w:t>
            </w:r>
          </w:p>
        </w:tc>
        <w:tc>
          <w:tcPr>
            <w:tcW w:w="6923" w:type="dxa"/>
            <w:vAlign w:val="center"/>
          </w:tcPr>
          <w:p w14:paraId="2D3633E9" w14:textId="682392EC" w:rsidR="004060B4" w:rsidRPr="002658D6" w:rsidRDefault="004060B4" w:rsidP="009800A6">
            <w:pPr>
              <w:tabs>
                <w:tab w:val="left" w:pos="316"/>
              </w:tabs>
              <w:suppressAutoHyphens/>
              <w:rPr>
                <w:rFonts w:ascii="Cambria" w:hAnsi="Cambria"/>
                <w:lang w:val="it-IT"/>
              </w:rPr>
            </w:pPr>
            <w:r w:rsidRPr="002658D6">
              <w:rPr>
                <w:rFonts w:ascii="Cambria" w:hAnsi="Cambria"/>
                <w:lang w:val="it-IT"/>
              </w:rPr>
              <w:t>•</w:t>
            </w:r>
            <w:r w:rsidRPr="002658D6">
              <w:rPr>
                <w:rFonts w:ascii="Cambria" w:hAnsi="Cambria"/>
                <w:lang w:val="it-IT"/>
              </w:rPr>
              <w:tab/>
              <w:t xml:space="preserve">Este necesară sală de curs cu o capacitate de circa </w:t>
            </w:r>
            <w:r w:rsidR="009800A6">
              <w:rPr>
                <w:rFonts w:ascii="Cambria" w:hAnsi="Cambria"/>
                <w:lang w:val="it-IT"/>
              </w:rPr>
              <w:t>7</w:t>
            </w:r>
            <w:r w:rsidRPr="002658D6">
              <w:rPr>
                <w:rFonts w:ascii="Cambria" w:hAnsi="Cambria"/>
                <w:lang w:val="it-IT"/>
              </w:rPr>
              <w:t>0 de locuri, tablă, instrumente de scris, proiector video (sau echivalent - tablă electronică, video-wall, proiector laser etc.), rețea wireless cu acces pentru cursanți.</w:t>
            </w:r>
          </w:p>
          <w:p w14:paraId="6BFB5A8E" w14:textId="13722E0A" w:rsidR="004060B4" w:rsidRPr="00E05207" w:rsidRDefault="004060B4" w:rsidP="009800A6">
            <w:pPr>
              <w:tabs>
                <w:tab w:val="left" w:pos="316"/>
              </w:tabs>
              <w:rPr>
                <w:lang w:val="it-IT"/>
              </w:rPr>
            </w:pPr>
            <w:r w:rsidRPr="002658D6">
              <w:rPr>
                <w:rFonts w:ascii="Cambria" w:hAnsi="Cambria"/>
                <w:lang w:val="it-IT"/>
              </w:rPr>
              <w:t>•</w:t>
            </w:r>
            <w:r w:rsidRPr="002658D6">
              <w:rPr>
                <w:rFonts w:ascii="Cambria" w:hAnsi="Cambria"/>
                <w:lang w:val="it-IT"/>
              </w:rPr>
              <w:tab/>
              <w:t>Este interzisă utilizarea telefonului mobil sau a altor aparate pe durata desfășurării cursului, cu excepția situației în care acestea sunt necesare pentru luarea de note scrise sau pentru documentare.</w:t>
            </w:r>
          </w:p>
        </w:tc>
      </w:tr>
      <w:tr w:rsidR="004060B4" w:rsidRPr="004060B4" w14:paraId="5CCD89DD" w14:textId="77777777" w:rsidTr="004060B4">
        <w:tc>
          <w:tcPr>
            <w:tcW w:w="2977" w:type="dxa"/>
          </w:tcPr>
          <w:p w14:paraId="0DEFCE3D" w14:textId="77777777" w:rsidR="004060B4" w:rsidRPr="00B060A3" w:rsidRDefault="004060B4" w:rsidP="004060B4">
            <w:pPr>
              <w:rPr>
                <w:lang w:val="ro-RO"/>
              </w:rPr>
            </w:pPr>
            <w:r w:rsidRPr="00B060A3">
              <w:rPr>
                <w:lang w:val="ro-RO"/>
              </w:rPr>
              <w:t>5.2</w:t>
            </w:r>
            <w:r>
              <w:rPr>
                <w:lang w:val="ro-RO"/>
              </w:rPr>
              <w:t>.</w:t>
            </w:r>
            <w:r w:rsidRPr="00B060A3">
              <w:rPr>
                <w:lang w:val="ro-RO"/>
              </w:rPr>
              <w:t xml:space="preserve"> de desfăşurare a seminarului/ laboratorului/ proiectului</w:t>
            </w:r>
          </w:p>
        </w:tc>
        <w:tc>
          <w:tcPr>
            <w:tcW w:w="6923" w:type="dxa"/>
            <w:vAlign w:val="center"/>
          </w:tcPr>
          <w:p w14:paraId="6FB7CE33" w14:textId="77777777" w:rsidR="004060B4" w:rsidRPr="002658D6" w:rsidRDefault="004060B4" w:rsidP="009800A6">
            <w:pPr>
              <w:tabs>
                <w:tab w:val="left" w:pos="316"/>
              </w:tabs>
              <w:suppressAutoHyphens/>
              <w:rPr>
                <w:rFonts w:ascii="Cambria" w:hAnsi="Cambria"/>
                <w:lang w:val="it-IT"/>
              </w:rPr>
            </w:pPr>
            <w:r w:rsidRPr="002658D6">
              <w:rPr>
                <w:rFonts w:ascii="Cambria" w:hAnsi="Cambria"/>
                <w:lang w:val="it-IT"/>
              </w:rPr>
              <w:t>•</w:t>
            </w:r>
            <w:r w:rsidRPr="002658D6">
              <w:rPr>
                <w:rFonts w:ascii="Cambria" w:hAnsi="Cambria"/>
                <w:lang w:val="it-IT"/>
              </w:rPr>
              <w:tab/>
              <w:t>Este necesară o sală cu o capacitate de maxim 30 de locuri, tablă, instrumente de scris, rețea wireless cu acces pentru cursanți.</w:t>
            </w:r>
          </w:p>
          <w:p w14:paraId="796E7555" w14:textId="77777777" w:rsidR="004060B4" w:rsidRPr="002658D6" w:rsidRDefault="004060B4" w:rsidP="009800A6">
            <w:pPr>
              <w:tabs>
                <w:tab w:val="left" w:pos="316"/>
              </w:tabs>
              <w:suppressAutoHyphens/>
              <w:rPr>
                <w:rFonts w:ascii="Cambria" w:hAnsi="Cambria"/>
                <w:lang w:val="it-IT"/>
              </w:rPr>
            </w:pPr>
            <w:r w:rsidRPr="002658D6">
              <w:rPr>
                <w:rFonts w:ascii="Cambria" w:hAnsi="Cambria"/>
                <w:lang w:val="it-IT"/>
              </w:rPr>
              <w:t>•</w:t>
            </w:r>
            <w:r w:rsidRPr="002658D6">
              <w:rPr>
                <w:rFonts w:ascii="Cambria" w:hAnsi="Cambria"/>
                <w:lang w:val="it-IT"/>
              </w:rPr>
              <w:tab/>
              <w:t>Este necesar ca studentul să aibă la dispoziție sursele de drept pozitiv (pe suport hârtie sau electronic, în funcție de preferințe), suportul de curs predat (în powerpoint și/sau notițele de la curs) și documentele scrise pregătite pentru seminar.</w:t>
            </w:r>
          </w:p>
          <w:p w14:paraId="1D9832FF" w14:textId="77777777" w:rsidR="004060B4" w:rsidRPr="002658D6" w:rsidRDefault="004060B4" w:rsidP="009800A6">
            <w:pPr>
              <w:tabs>
                <w:tab w:val="left" w:pos="316"/>
              </w:tabs>
              <w:suppressAutoHyphens/>
              <w:rPr>
                <w:rFonts w:ascii="Cambria" w:hAnsi="Cambria"/>
                <w:lang w:val="it-IT"/>
              </w:rPr>
            </w:pPr>
            <w:r w:rsidRPr="002658D6">
              <w:rPr>
                <w:rFonts w:ascii="Cambria" w:hAnsi="Cambria"/>
                <w:lang w:val="it-IT"/>
              </w:rPr>
              <w:t>•</w:t>
            </w:r>
            <w:r w:rsidRPr="002658D6">
              <w:rPr>
                <w:rFonts w:ascii="Cambria" w:hAnsi="Cambria"/>
                <w:lang w:val="it-IT"/>
              </w:rPr>
              <w:tab/>
              <w:t>În ipoteza materialelor didactice trimise în format electronic (email, tehnologii cloud, platforme didactice online etc.) studenții trebuie să aibă acces în timp real la rețeaua internet a facultății.</w:t>
            </w:r>
          </w:p>
          <w:p w14:paraId="72E91083" w14:textId="77777777" w:rsidR="004060B4" w:rsidRPr="002658D6" w:rsidRDefault="004060B4" w:rsidP="009800A6">
            <w:pPr>
              <w:tabs>
                <w:tab w:val="left" w:pos="316"/>
              </w:tabs>
              <w:suppressAutoHyphens/>
              <w:rPr>
                <w:rFonts w:ascii="Cambria" w:hAnsi="Cambria"/>
                <w:lang w:val="it-IT"/>
              </w:rPr>
            </w:pPr>
            <w:r w:rsidRPr="002658D6">
              <w:rPr>
                <w:rFonts w:ascii="Cambria" w:hAnsi="Cambria"/>
                <w:lang w:val="it-IT"/>
              </w:rPr>
              <w:t>•</w:t>
            </w:r>
            <w:r w:rsidRPr="002658D6">
              <w:rPr>
                <w:rFonts w:ascii="Cambria" w:hAnsi="Cambria"/>
                <w:lang w:val="it-IT"/>
              </w:rPr>
              <w:tab/>
              <w:t>Temele scrise solicitate de titularul de seminar trebuie predate în termen de o săptămână, dacă nu se stabilește altfel.</w:t>
            </w:r>
          </w:p>
          <w:p w14:paraId="793D8220" w14:textId="722B7469" w:rsidR="004060B4" w:rsidRPr="00D55970" w:rsidRDefault="004060B4" w:rsidP="009800A6">
            <w:pPr>
              <w:tabs>
                <w:tab w:val="left" w:pos="316"/>
              </w:tabs>
              <w:rPr>
                <w:color w:val="FF0000"/>
                <w:lang w:val="ro-RO"/>
              </w:rPr>
            </w:pPr>
            <w:r w:rsidRPr="002658D6">
              <w:rPr>
                <w:rFonts w:ascii="Cambria" w:hAnsi="Cambria"/>
                <w:lang w:val="it-IT"/>
              </w:rPr>
              <w:t>•</w:t>
            </w:r>
            <w:r w:rsidRPr="002658D6">
              <w:rPr>
                <w:rFonts w:ascii="Cambria" w:hAnsi="Cambria"/>
                <w:lang w:val="it-IT"/>
              </w:rPr>
              <w:tab/>
              <w:t>Este interzisă utilizarea telefonului mobil sau a altor aparate pe durata cursului, cu excepția situației în care acestea sunt necesare pentru luarea de note scrise sau pentru documentare.</w:t>
            </w:r>
          </w:p>
        </w:tc>
      </w:tr>
    </w:tbl>
    <w:p w14:paraId="542EBA0D" w14:textId="77777777" w:rsidR="00DF5C86" w:rsidRPr="00B060A3" w:rsidRDefault="00DF5C86" w:rsidP="00DF5C86">
      <w:pPr>
        <w:rPr>
          <w:b/>
          <w:lang w:val="ro-RO"/>
        </w:rPr>
      </w:pPr>
    </w:p>
    <w:p w14:paraId="1FA46B9A" w14:textId="77777777" w:rsidR="00220B6A" w:rsidRDefault="00220B6A" w:rsidP="00DF5C86">
      <w:pPr>
        <w:rPr>
          <w:b/>
          <w:lang w:val="ro-RO"/>
        </w:rPr>
      </w:pPr>
    </w:p>
    <w:p w14:paraId="01C0B57C" w14:textId="77777777" w:rsidR="00DF5C86" w:rsidRPr="00B060A3" w:rsidRDefault="00DF5C86" w:rsidP="00DF5C86">
      <w:pPr>
        <w:rPr>
          <w:b/>
          <w:lang w:val="ro-RO"/>
        </w:rPr>
      </w:pPr>
      <w:r w:rsidRPr="00B060A3">
        <w:rPr>
          <w:b/>
          <w:lang w:val="ro-RO"/>
        </w:rPr>
        <w:t>6. Competenţe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DF5C86" w:rsidRPr="004060B4" w14:paraId="32E3EB78" w14:textId="77777777" w:rsidTr="00C1331A">
        <w:trPr>
          <w:cantSplit/>
          <w:trHeight w:val="1332"/>
        </w:trPr>
        <w:tc>
          <w:tcPr>
            <w:tcW w:w="567" w:type="dxa"/>
            <w:textDirection w:val="btLr"/>
          </w:tcPr>
          <w:p w14:paraId="58FF14E9" w14:textId="77777777" w:rsidR="00DF5C86" w:rsidRPr="00B060A3" w:rsidRDefault="00DF5C86" w:rsidP="00C1331A">
            <w:pPr>
              <w:ind w:left="113" w:right="113"/>
              <w:rPr>
                <w:lang w:val="ro-RO"/>
              </w:rPr>
            </w:pPr>
            <w:r w:rsidRPr="00B060A3">
              <w:rPr>
                <w:lang w:val="ro-RO"/>
              </w:rPr>
              <w:t>Competenţe profesionale</w:t>
            </w:r>
          </w:p>
        </w:tc>
        <w:tc>
          <w:tcPr>
            <w:tcW w:w="9333" w:type="dxa"/>
            <w:vAlign w:val="center"/>
          </w:tcPr>
          <w:p w14:paraId="04068EF4" w14:textId="77777777" w:rsidR="004060B4" w:rsidRPr="006835D9" w:rsidRDefault="004060B4" w:rsidP="004060B4">
            <w:pPr>
              <w:numPr>
                <w:ilvl w:val="0"/>
                <w:numId w:val="5"/>
              </w:numPr>
              <w:ind w:left="284"/>
              <w:rPr>
                <w:rFonts w:ascii="Georgia" w:hAnsi="Georgia"/>
                <w:lang w:val="ro-RO"/>
              </w:rPr>
            </w:pPr>
            <w:r w:rsidRPr="006835D9">
              <w:rPr>
                <w:rFonts w:ascii="Georgia" w:hAnsi="Georgia"/>
                <w:i/>
                <w:lang w:val="ro-RO"/>
              </w:rPr>
              <w:t>Cunoaștere și înțelegere</w:t>
            </w:r>
          </w:p>
          <w:p w14:paraId="0AA6D7DF" w14:textId="77777777" w:rsidR="004060B4" w:rsidRPr="006835D9" w:rsidRDefault="004060B4" w:rsidP="004060B4">
            <w:pPr>
              <w:ind w:left="284"/>
              <w:rPr>
                <w:rFonts w:ascii="Georgia" w:hAnsi="Georgia"/>
                <w:lang w:val="ro-RO"/>
              </w:rPr>
            </w:pPr>
          </w:p>
          <w:p w14:paraId="3DB44673" w14:textId="194D63AD" w:rsidR="004060B4" w:rsidRPr="006835D9" w:rsidRDefault="004060B4" w:rsidP="004060B4">
            <w:pPr>
              <w:numPr>
                <w:ilvl w:val="0"/>
                <w:numId w:val="4"/>
              </w:numPr>
              <w:ind w:left="284" w:hanging="280"/>
              <w:jc w:val="both"/>
              <w:rPr>
                <w:rFonts w:ascii="Georgia" w:hAnsi="Georgia"/>
                <w:lang w:val="ro-RO"/>
              </w:rPr>
            </w:pPr>
            <w:r w:rsidRPr="006835D9">
              <w:rPr>
                <w:rFonts w:ascii="Georgia" w:hAnsi="Georgia"/>
                <w:lang w:val="ro-RO"/>
              </w:rPr>
              <w:t xml:space="preserve">cunoaște și înțelege termenii de specialitate, atât cei de drept comun cât și cei specifici dreptului comercial (raporturilor juridice cu profesioniști) și termenii economici specifici domeniului de </w:t>
            </w:r>
            <w:r w:rsidR="009800A6">
              <w:rPr>
                <w:rFonts w:ascii="Georgia" w:hAnsi="Georgia"/>
                <w:lang w:val="ro-RO"/>
              </w:rPr>
              <w:t>prevenire a insolvenței și de insolvență</w:t>
            </w:r>
            <w:r w:rsidRPr="006835D9">
              <w:rPr>
                <w:rFonts w:ascii="Georgia" w:hAnsi="Georgia"/>
                <w:lang w:val="ro-RO"/>
              </w:rPr>
              <w:t>;</w:t>
            </w:r>
          </w:p>
          <w:p w14:paraId="47FF8BB5" w14:textId="77777777" w:rsidR="004060B4" w:rsidRPr="006835D9" w:rsidRDefault="004060B4" w:rsidP="004060B4">
            <w:pPr>
              <w:numPr>
                <w:ilvl w:val="0"/>
                <w:numId w:val="4"/>
              </w:numPr>
              <w:ind w:left="284" w:hanging="280"/>
              <w:jc w:val="both"/>
              <w:rPr>
                <w:rFonts w:ascii="Georgia" w:hAnsi="Georgia"/>
                <w:lang w:val="ro-RO"/>
              </w:rPr>
            </w:pPr>
            <w:r w:rsidRPr="006835D9">
              <w:rPr>
                <w:rFonts w:ascii="Georgia" w:hAnsi="Georgia"/>
                <w:lang w:val="ro-RO"/>
              </w:rPr>
              <w:t>cunoaște și înțelege noțiunile teoretice de bază ale dreptului civil și ale dreptului comercial (raporturilor juridice cu profesioniști);</w:t>
            </w:r>
          </w:p>
          <w:p w14:paraId="319F881B" w14:textId="77777777" w:rsidR="004060B4" w:rsidRPr="006835D9" w:rsidRDefault="004060B4" w:rsidP="004060B4">
            <w:pPr>
              <w:numPr>
                <w:ilvl w:val="0"/>
                <w:numId w:val="4"/>
              </w:numPr>
              <w:ind w:left="284" w:hanging="280"/>
              <w:jc w:val="both"/>
              <w:rPr>
                <w:rFonts w:ascii="Georgia" w:hAnsi="Georgia"/>
                <w:lang w:val="ro-RO"/>
              </w:rPr>
            </w:pPr>
            <w:r w:rsidRPr="006835D9">
              <w:rPr>
                <w:rFonts w:ascii="Georgia" w:hAnsi="Georgia"/>
                <w:lang w:val="ro-RO"/>
              </w:rPr>
              <w:t>cunoaște și înțelege instituțiile fundamentale ale raportului juridic civil (raporturile juridice cu profesioniști), în special subiectele raportului juridic civil (persoanele fizice și juridice) și obiectul raportului juridic civil;</w:t>
            </w:r>
          </w:p>
          <w:p w14:paraId="5035361F" w14:textId="77777777" w:rsidR="004060B4" w:rsidRPr="006835D9" w:rsidRDefault="004060B4" w:rsidP="004060B4">
            <w:pPr>
              <w:numPr>
                <w:ilvl w:val="0"/>
                <w:numId w:val="4"/>
              </w:numPr>
              <w:ind w:left="284" w:hanging="280"/>
              <w:jc w:val="both"/>
              <w:rPr>
                <w:rFonts w:ascii="Georgia" w:hAnsi="Georgia"/>
                <w:lang w:val="ro-RO"/>
              </w:rPr>
            </w:pPr>
            <w:r w:rsidRPr="006835D9">
              <w:rPr>
                <w:rFonts w:ascii="Georgia" w:hAnsi="Georgia"/>
                <w:lang w:val="ro-RO"/>
              </w:rPr>
              <w:t>cunoaște și înțelege construcția profesionistului persoană juridică, structura patrimonială, funcțiile patrimoniului, operațiunile asupra patrimoniului.</w:t>
            </w:r>
          </w:p>
          <w:p w14:paraId="246A1396" w14:textId="77777777" w:rsidR="004060B4" w:rsidRPr="006835D9" w:rsidRDefault="004060B4" w:rsidP="004060B4">
            <w:pPr>
              <w:numPr>
                <w:ilvl w:val="0"/>
                <w:numId w:val="4"/>
              </w:numPr>
              <w:ind w:left="284" w:hanging="280"/>
              <w:jc w:val="both"/>
              <w:rPr>
                <w:rFonts w:ascii="Georgia" w:hAnsi="Georgia"/>
                <w:lang w:val="ro-RO"/>
              </w:rPr>
            </w:pPr>
            <w:r w:rsidRPr="006835D9">
              <w:rPr>
                <w:rFonts w:ascii="Georgia" w:hAnsi="Georgia"/>
                <w:lang w:val="ro-RO"/>
              </w:rPr>
              <w:t>înțelege și utilizează terminologia specifică dreptului civil (raporturilor juridice cu profesioniști) și limbajul economic utilizat în domeniu, înțelege diferența de semnificație semantică față de sensul termenilor în limbajul obișnuit.</w:t>
            </w:r>
          </w:p>
          <w:p w14:paraId="147E308B" w14:textId="77777777" w:rsidR="004060B4" w:rsidRPr="006835D9" w:rsidRDefault="004060B4" w:rsidP="004060B4">
            <w:pPr>
              <w:ind w:left="284"/>
              <w:jc w:val="both"/>
              <w:rPr>
                <w:rFonts w:ascii="Georgia" w:hAnsi="Georgia"/>
                <w:lang w:val="ro-RO"/>
              </w:rPr>
            </w:pPr>
          </w:p>
          <w:p w14:paraId="4819102C" w14:textId="77777777" w:rsidR="004060B4" w:rsidRPr="006835D9" w:rsidRDefault="004060B4" w:rsidP="004060B4">
            <w:pPr>
              <w:numPr>
                <w:ilvl w:val="0"/>
                <w:numId w:val="5"/>
              </w:numPr>
              <w:ind w:left="284"/>
              <w:jc w:val="both"/>
              <w:rPr>
                <w:rFonts w:ascii="Georgia" w:hAnsi="Georgia"/>
                <w:lang w:val="ro-RO"/>
              </w:rPr>
            </w:pPr>
            <w:r w:rsidRPr="006835D9">
              <w:rPr>
                <w:rFonts w:ascii="Georgia" w:hAnsi="Georgia"/>
                <w:i/>
                <w:lang w:val="ro-RO"/>
              </w:rPr>
              <w:t>Explicare, interpretare și aplicare</w:t>
            </w:r>
          </w:p>
          <w:p w14:paraId="048E535C" w14:textId="77777777" w:rsidR="004060B4" w:rsidRPr="006835D9" w:rsidRDefault="004060B4" w:rsidP="004060B4">
            <w:pPr>
              <w:ind w:left="284"/>
              <w:jc w:val="both"/>
              <w:rPr>
                <w:rFonts w:ascii="Georgia" w:hAnsi="Georgia"/>
                <w:lang w:val="ro-RO"/>
              </w:rPr>
            </w:pPr>
          </w:p>
          <w:p w14:paraId="6320AF0F" w14:textId="77777777" w:rsidR="004060B4" w:rsidRPr="006835D9" w:rsidRDefault="004060B4" w:rsidP="004060B4">
            <w:pPr>
              <w:numPr>
                <w:ilvl w:val="0"/>
                <w:numId w:val="6"/>
              </w:numPr>
              <w:ind w:left="286" w:hanging="283"/>
              <w:jc w:val="both"/>
              <w:rPr>
                <w:rFonts w:ascii="Georgia" w:hAnsi="Georgia"/>
                <w:lang w:val="ro-RO"/>
              </w:rPr>
            </w:pPr>
            <w:r w:rsidRPr="006835D9">
              <w:rPr>
                <w:rFonts w:ascii="Georgia" w:hAnsi="Georgia"/>
                <w:lang w:val="ro-RO"/>
              </w:rPr>
              <w:t>dezvoltă abilități de utilizare în mod adecvat a cunoștințelor teoretice dobândite în rezolvarea unor aplicații practice (situații de fapt prestabilite - spețe);</w:t>
            </w:r>
          </w:p>
          <w:p w14:paraId="77E8CCF4" w14:textId="77777777" w:rsidR="004060B4" w:rsidRPr="006835D9" w:rsidRDefault="004060B4" w:rsidP="004060B4">
            <w:pPr>
              <w:numPr>
                <w:ilvl w:val="0"/>
                <w:numId w:val="6"/>
              </w:numPr>
              <w:ind w:left="286" w:hanging="283"/>
              <w:jc w:val="both"/>
              <w:rPr>
                <w:rFonts w:ascii="Georgia" w:hAnsi="Georgia"/>
                <w:lang w:val="ro-RO"/>
              </w:rPr>
            </w:pPr>
            <w:r w:rsidRPr="006835D9">
              <w:rPr>
                <w:rFonts w:ascii="Georgia" w:hAnsi="Georgia"/>
                <w:lang w:val="ro-RO"/>
              </w:rPr>
              <w:t>aplică la situații practice și interpretează în mod corect dispozițiile dreptului pozitiv studiat;</w:t>
            </w:r>
          </w:p>
          <w:p w14:paraId="390BAC2B" w14:textId="77777777" w:rsidR="004060B4" w:rsidRPr="006835D9" w:rsidRDefault="004060B4" w:rsidP="004060B4">
            <w:pPr>
              <w:pStyle w:val="Default"/>
              <w:numPr>
                <w:ilvl w:val="0"/>
                <w:numId w:val="6"/>
              </w:numPr>
              <w:ind w:left="286" w:hanging="283"/>
              <w:jc w:val="both"/>
              <w:rPr>
                <w:rFonts w:ascii="Georgia" w:hAnsi="Georgia"/>
                <w:sz w:val="20"/>
                <w:lang w:val="ro-RO"/>
              </w:rPr>
            </w:pPr>
            <w:r w:rsidRPr="006835D9">
              <w:rPr>
                <w:rFonts w:ascii="Georgia" w:hAnsi="Georgia"/>
                <w:sz w:val="20"/>
                <w:lang w:val="ro-RO"/>
              </w:rPr>
              <w:t xml:space="preserve">aplică și interpretează în mod corect deciziile obligatorii ale instanțelor; </w:t>
            </w:r>
          </w:p>
          <w:p w14:paraId="0FD8CD75" w14:textId="77777777" w:rsidR="004060B4" w:rsidRPr="006835D9" w:rsidRDefault="004060B4" w:rsidP="004060B4">
            <w:pPr>
              <w:numPr>
                <w:ilvl w:val="0"/>
                <w:numId w:val="6"/>
              </w:numPr>
              <w:spacing w:line="276" w:lineRule="auto"/>
              <w:ind w:left="286" w:hanging="283"/>
              <w:jc w:val="both"/>
              <w:rPr>
                <w:rFonts w:ascii="Georgia" w:hAnsi="Georgia"/>
                <w:lang w:val="ro-RO"/>
              </w:rPr>
            </w:pPr>
            <w:r w:rsidRPr="006835D9">
              <w:rPr>
                <w:rFonts w:ascii="Georgia" w:hAnsi="Georgia"/>
                <w:lang w:val="ro-RO"/>
              </w:rPr>
              <w:t>competențe privind redactarea de cereri şi concluzii;</w:t>
            </w:r>
          </w:p>
          <w:p w14:paraId="0B4EC132" w14:textId="77777777" w:rsidR="004060B4" w:rsidRPr="006835D9" w:rsidRDefault="004060B4" w:rsidP="004060B4">
            <w:pPr>
              <w:numPr>
                <w:ilvl w:val="0"/>
                <w:numId w:val="6"/>
              </w:numPr>
              <w:spacing w:line="276" w:lineRule="auto"/>
              <w:ind w:left="286" w:hanging="283"/>
              <w:jc w:val="both"/>
              <w:rPr>
                <w:rFonts w:ascii="Georgia" w:hAnsi="Georgia"/>
                <w:lang w:val="ro-RO"/>
              </w:rPr>
            </w:pPr>
            <w:r w:rsidRPr="006835D9">
              <w:rPr>
                <w:rFonts w:ascii="Georgia" w:hAnsi="Georgia"/>
                <w:lang w:val="ro-RO"/>
              </w:rPr>
              <w:t>competențe de rezolvare a unor cazuri practice (speţe), în raport de diferitele instituții studiate.</w:t>
            </w:r>
          </w:p>
          <w:p w14:paraId="4CD217B2" w14:textId="67565DC6" w:rsidR="00DF5C86" w:rsidRPr="006835D9" w:rsidRDefault="004060B4" w:rsidP="004060B4">
            <w:pPr>
              <w:rPr>
                <w:lang w:val="ro-RO"/>
              </w:rPr>
            </w:pPr>
            <w:r w:rsidRPr="006835D9">
              <w:rPr>
                <w:rFonts w:ascii="Georgia" w:hAnsi="Georgia"/>
                <w:lang w:val="ro-RO"/>
              </w:rPr>
              <w:t>reflecție critică asupra efectelor normelor de drept civil (raporturile juridice cu profesioniști) și a soluțiilor jurisprudențiale asupra relațiilor sociale reglementate.</w:t>
            </w:r>
          </w:p>
        </w:tc>
      </w:tr>
      <w:tr w:rsidR="00DF5C86" w:rsidRPr="004060B4" w14:paraId="7CC6163C" w14:textId="77777777" w:rsidTr="00C1331A">
        <w:trPr>
          <w:cantSplit/>
          <w:trHeight w:val="1403"/>
        </w:trPr>
        <w:tc>
          <w:tcPr>
            <w:tcW w:w="567" w:type="dxa"/>
            <w:textDirection w:val="btLr"/>
          </w:tcPr>
          <w:p w14:paraId="6CCD3255" w14:textId="77777777" w:rsidR="00DF5C86" w:rsidRPr="00B060A3" w:rsidRDefault="00DF5C86" w:rsidP="00C1331A">
            <w:pPr>
              <w:ind w:left="113" w:right="113"/>
              <w:rPr>
                <w:lang w:val="ro-RO"/>
              </w:rPr>
            </w:pPr>
            <w:r w:rsidRPr="00B060A3">
              <w:rPr>
                <w:lang w:val="ro-RO"/>
              </w:rPr>
              <w:t>Competenţe transversale</w:t>
            </w:r>
          </w:p>
        </w:tc>
        <w:tc>
          <w:tcPr>
            <w:tcW w:w="9333" w:type="dxa"/>
            <w:vAlign w:val="center"/>
          </w:tcPr>
          <w:p w14:paraId="31D36CC3" w14:textId="77777777" w:rsidR="004060B4" w:rsidRPr="006835D9" w:rsidRDefault="004060B4" w:rsidP="004060B4">
            <w:pPr>
              <w:numPr>
                <w:ilvl w:val="0"/>
                <w:numId w:val="7"/>
              </w:numPr>
              <w:ind w:left="298" w:hanging="308"/>
              <w:jc w:val="both"/>
              <w:rPr>
                <w:rFonts w:ascii="Georgia" w:hAnsi="Georgia"/>
                <w:lang w:val="ro-RO"/>
              </w:rPr>
            </w:pPr>
            <w:r w:rsidRPr="006835D9">
              <w:rPr>
                <w:rFonts w:ascii="Georgia" w:hAnsi="Georgia"/>
                <w:lang w:val="ro-RO"/>
              </w:rPr>
              <w:t>formarea abilităților de dezvoltarea a raționamentelor logico-juridice;</w:t>
            </w:r>
          </w:p>
          <w:p w14:paraId="170041B8" w14:textId="77777777" w:rsidR="004060B4" w:rsidRPr="006835D9" w:rsidRDefault="004060B4" w:rsidP="004060B4">
            <w:pPr>
              <w:pStyle w:val="Default"/>
              <w:numPr>
                <w:ilvl w:val="0"/>
                <w:numId w:val="7"/>
              </w:numPr>
              <w:ind w:left="298" w:hanging="308"/>
              <w:jc w:val="both"/>
              <w:rPr>
                <w:rFonts w:ascii="Georgia" w:hAnsi="Georgia"/>
                <w:sz w:val="20"/>
                <w:lang w:val="ro-RO"/>
              </w:rPr>
            </w:pPr>
            <w:r w:rsidRPr="006835D9">
              <w:rPr>
                <w:rFonts w:ascii="Georgia" w:hAnsi="Georgia"/>
                <w:sz w:val="20"/>
                <w:lang w:val="ro-RO"/>
              </w:rPr>
              <w:t xml:space="preserve">formarea abilitatăților de analiză a practicii judiciare relevante raportat la instituţiile civile (raporturilor juridice cu profesioniști) studiate; </w:t>
            </w:r>
          </w:p>
          <w:p w14:paraId="7FE5F141" w14:textId="77777777" w:rsidR="004060B4" w:rsidRPr="006835D9" w:rsidRDefault="004060B4" w:rsidP="004060B4">
            <w:pPr>
              <w:numPr>
                <w:ilvl w:val="0"/>
                <w:numId w:val="7"/>
              </w:numPr>
              <w:ind w:left="298" w:hanging="308"/>
              <w:jc w:val="both"/>
              <w:rPr>
                <w:rFonts w:ascii="Georgia" w:hAnsi="Georgia"/>
                <w:lang w:val="ro-RO"/>
              </w:rPr>
            </w:pPr>
            <w:r w:rsidRPr="006835D9">
              <w:rPr>
                <w:rFonts w:ascii="Georgia" w:hAnsi="Georgia"/>
                <w:lang w:val="ro-RO"/>
              </w:rPr>
              <w:t>capacitatea de a analiza și de a critica, dacă este cazul, normele juridice civile studiate</w:t>
            </w:r>
          </w:p>
          <w:p w14:paraId="33653A68" w14:textId="77777777" w:rsidR="004060B4" w:rsidRPr="006835D9" w:rsidRDefault="004060B4" w:rsidP="004060B4">
            <w:pPr>
              <w:pStyle w:val="Default"/>
              <w:numPr>
                <w:ilvl w:val="0"/>
                <w:numId w:val="7"/>
              </w:numPr>
              <w:ind w:left="298" w:hanging="308"/>
              <w:jc w:val="both"/>
              <w:rPr>
                <w:rFonts w:ascii="Georgia" w:hAnsi="Georgia"/>
                <w:sz w:val="20"/>
                <w:lang w:val="ro-RO"/>
              </w:rPr>
            </w:pPr>
            <w:r w:rsidRPr="006835D9">
              <w:rPr>
                <w:rFonts w:ascii="Georgia" w:hAnsi="Georgia"/>
                <w:sz w:val="20"/>
                <w:lang w:val="ro-RO"/>
              </w:rPr>
              <w:t>capacitatea de a prezenta în mod clar și fluent, oral şi în scris, conceptele studiate;</w:t>
            </w:r>
          </w:p>
          <w:p w14:paraId="1710DB9F" w14:textId="4D7E81EB" w:rsidR="00DF5C86" w:rsidRPr="006835D9" w:rsidRDefault="004060B4" w:rsidP="004060B4">
            <w:pPr>
              <w:rPr>
                <w:lang w:val="ro-RO"/>
              </w:rPr>
            </w:pPr>
            <w:r w:rsidRPr="006835D9">
              <w:rPr>
                <w:rFonts w:ascii="Georgia" w:hAnsi="Georgia"/>
                <w:lang w:val="ro-RO"/>
              </w:rPr>
              <w:t>competențe de utilizare interdisciplinară a cunoștințelor dobândite și a terminologiei specifice dreptului civil (raporturilor juridice cu profesioniști).</w:t>
            </w:r>
          </w:p>
        </w:tc>
      </w:tr>
    </w:tbl>
    <w:p w14:paraId="564FF3D5" w14:textId="77777777" w:rsidR="00DF5C86" w:rsidRPr="00B060A3" w:rsidRDefault="00DF5C86" w:rsidP="00DF5C86">
      <w:pPr>
        <w:rPr>
          <w:b/>
          <w:lang w:val="ro-RO"/>
        </w:rPr>
      </w:pPr>
    </w:p>
    <w:p w14:paraId="544A0BEB" w14:textId="77777777" w:rsidR="00DF5C86" w:rsidRPr="00B060A3" w:rsidRDefault="00DF5C86" w:rsidP="00DF5C86">
      <w:pPr>
        <w:rPr>
          <w:b/>
          <w:lang w:val="ro-RO"/>
        </w:rPr>
      </w:pPr>
    </w:p>
    <w:p w14:paraId="37B81289" w14:textId="77777777" w:rsidR="00DF5C86" w:rsidRPr="00B060A3" w:rsidRDefault="00DF5C86" w:rsidP="00DF5C86">
      <w:pPr>
        <w:rPr>
          <w:lang w:val="ro-RO"/>
        </w:rPr>
      </w:pPr>
      <w:r w:rsidRPr="00B060A3">
        <w:rPr>
          <w:b/>
          <w:lang w:val="ro-RO"/>
        </w:rPr>
        <w:lastRenderedPageBreak/>
        <w:t xml:space="preserve">7. Obiectivele disciplinei </w:t>
      </w:r>
      <w:r w:rsidRPr="00B060A3">
        <w:rPr>
          <w:lang w:val="ro-RO"/>
        </w:rPr>
        <w:t>(reieşind din grila competenţelor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tblGrid>
      <w:tr w:rsidR="00993C01" w:rsidRPr="004060B4" w14:paraId="042F72F2" w14:textId="77777777" w:rsidTr="00993C01">
        <w:tc>
          <w:tcPr>
            <w:tcW w:w="3227" w:type="dxa"/>
          </w:tcPr>
          <w:p w14:paraId="2BABD548" w14:textId="77777777" w:rsidR="00993C01" w:rsidRPr="00B060A3" w:rsidRDefault="00993C01" w:rsidP="00993C01">
            <w:pPr>
              <w:rPr>
                <w:lang w:val="ro-RO"/>
              </w:rPr>
            </w:pPr>
            <w:r w:rsidRPr="00B060A3">
              <w:rPr>
                <w:lang w:val="ro-RO"/>
              </w:rPr>
              <w:t>7.1</w:t>
            </w:r>
            <w:r>
              <w:rPr>
                <w:lang w:val="ro-RO"/>
              </w:rPr>
              <w:t>.</w:t>
            </w:r>
            <w:r w:rsidRPr="00B060A3">
              <w:rPr>
                <w:lang w:val="ro-RO"/>
              </w:rPr>
              <w:t xml:space="preserve"> Obiectivul general al disciplinei</w:t>
            </w:r>
          </w:p>
        </w:tc>
        <w:tc>
          <w:tcPr>
            <w:tcW w:w="6673" w:type="dxa"/>
            <w:vAlign w:val="center"/>
          </w:tcPr>
          <w:p w14:paraId="14176455" w14:textId="0250BC39" w:rsidR="00993C01" w:rsidRPr="00D55970" w:rsidRDefault="00993C01" w:rsidP="00993C01">
            <w:pPr>
              <w:rPr>
                <w:color w:val="FF0000"/>
                <w:lang w:val="ro-RO"/>
              </w:rPr>
            </w:pPr>
            <w:r w:rsidRPr="00993C01">
              <w:rPr>
                <w:rFonts w:ascii="Georgia" w:hAnsi="Georgia"/>
                <w:b/>
                <w:lang w:val="ro-RO"/>
              </w:rPr>
              <w:t xml:space="preserve">Introducerea studenților într-o subramură a dreptului comercial (raporturilor juridice cu profesioniști) – </w:t>
            </w:r>
            <w:r w:rsidR="009800A6">
              <w:rPr>
                <w:rFonts w:ascii="Georgia" w:hAnsi="Georgia"/>
                <w:b/>
                <w:lang w:val="ro-RO"/>
              </w:rPr>
              <w:t>dreptul prevenirii insolvenței și insolvenței</w:t>
            </w:r>
            <w:r w:rsidRPr="00993C01">
              <w:rPr>
                <w:rFonts w:ascii="Georgia" w:hAnsi="Georgia"/>
                <w:b/>
                <w:lang w:val="ro-RO"/>
              </w:rPr>
              <w:t xml:space="preserve">, familiarizarea cu principalele tehnici juridice și cu conceptele fundamentale ale dreptului </w:t>
            </w:r>
            <w:r w:rsidR="009800A6">
              <w:rPr>
                <w:rFonts w:ascii="Georgia" w:hAnsi="Georgia"/>
                <w:b/>
                <w:lang w:val="ro-RO"/>
              </w:rPr>
              <w:t>insolvenței</w:t>
            </w:r>
            <w:r w:rsidRPr="00993C01">
              <w:rPr>
                <w:rFonts w:ascii="Georgia" w:hAnsi="Georgia"/>
                <w:b/>
                <w:lang w:val="ro-RO"/>
              </w:rPr>
              <w:t>.</w:t>
            </w:r>
          </w:p>
        </w:tc>
      </w:tr>
      <w:tr w:rsidR="00993C01" w:rsidRPr="004060B4" w14:paraId="73D02C32" w14:textId="77777777" w:rsidTr="00993C01">
        <w:tc>
          <w:tcPr>
            <w:tcW w:w="3227" w:type="dxa"/>
          </w:tcPr>
          <w:p w14:paraId="2B59594D" w14:textId="77777777" w:rsidR="00993C01" w:rsidRPr="00B060A3" w:rsidRDefault="00993C01" w:rsidP="00993C01">
            <w:pPr>
              <w:rPr>
                <w:lang w:val="ro-RO"/>
              </w:rPr>
            </w:pPr>
            <w:r w:rsidRPr="00B060A3">
              <w:rPr>
                <w:lang w:val="ro-RO"/>
              </w:rPr>
              <w:t>7.2</w:t>
            </w:r>
            <w:r>
              <w:rPr>
                <w:lang w:val="ro-RO"/>
              </w:rPr>
              <w:t>.</w:t>
            </w:r>
            <w:r w:rsidRPr="00B060A3">
              <w:rPr>
                <w:lang w:val="ro-RO"/>
              </w:rPr>
              <w:t xml:space="preserve"> Obiectivele specifice</w:t>
            </w:r>
          </w:p>
        </w:tc>
        <w:tc>
          <w:tcPr>
            <w:tcW w:w="6673" w:type="dxa"/>
            <w:vAlign w:val="center"/>
          </w:tcPr>
          <w:p w14:paraId="04777AC3" w14:textId="0E83154A" w:rsidR="00993C01" w:rsidRPr="009446D9" w:rsidRDefault="00993C01" w:rsidP="00993C01">
            <w:pPr>
              <w:numPr>
                <w:ilvl w:val="0"/>
                <w:numId w:val="8"/>
              </w:numPr>
              <w:jc w:val="both"/>
              <w:rPr>
                <w:rFonts w:ascii="Georgia" w:hAnsi="Georgia"/>
                <w:lang w:val="ro-RO"/>
              </w:rPr>
            </w:pPr>
            <w:r w:rsidRPr="009446D9">
              <w:rPr>
                <w:rFonts w:ascii="Georgia" w:hAnsi="Georgia"/>
                <w:lang w:val="ro-RO"/>
              </w:rPr>
              <w:t xml:space="preserve">Formarea unei imagini generale asupra tehnicilor </w:t>
            </w:r>
            <w:r w:rsidR="009800A6">
              <w:rPr>
                <w:rFonts w:ascii="Georgia" w:hAnsi="Georgia"/>
                <w:lang w:val="ro-RO"/>
              </w:rPr>
              <w:t>prevenire a insolvenței și a insolvenței</w:t>
            </w:r>
            <w:r w:rsidRPr="009446D9">
              <w:rPr>
                <w:rFonts w:ascii="Georgia" w:hAnsi="Georgia"/>
                <w:lang w:val="ro-RO"/>
              </w:rPr>
              <w:t xml:space="preserve"> întreprinderi</w:t>
            </w:r>
            <w:r w:rsidR="009800A6">
              <w:rPr>
                <w:rFonts w:ascii="Georgia" w:hAnsi="Georgia"/>
                <w:lang w:val="ro-RO"/>
              </w:rPr>
              <w:t>lor</w:t>
            </w:r>
            <w:r w:rsidRPr="009446D9">
              <w:rPr>
                <w:rFonts w:ascii="Georgia" w:hAnsi="Georgia"/>
                <w:lang w:val="ro-RO"/>
              </w:rPr>
              <w:t xml:space="preserve"> cu scop lucrativ;</w:t>
            </w:r>
          </w:p>
          <w:p w14:paraId="76AD4535" w14:textId="231DC4F9" w:rsidR="00993C01" w:rsidRPr="009446D9" w:rsidRDefault="00993C01" w:rsidP="00993C01">
            <w:pPr>
              <w:numPr>
                <w:ilvl w:val="0"/>
                <w:numId w:val="8"/>
              </w:numPr>
              <w:jc w:val="both"/>
              <w:rPr>
                <w:rFonts w:ascii="Georgia" w:hAnsi="Georgia"/>
                <w:lang w:val="ro-RO"/>
              </w:rPr>
            </w:pPr>
            <w:r w:rsidRPr="009446D9">
              <w:rPr>
                <w:rFonts w:ascii="Georgia" w:hAnsi="Georgia"/>
                <w:lang w:val="ro-RO"/>
              </w:rPr>
              <w:t xml:space="preserve">Înțelegerea specificului </w:t>
            </w:r>
            <w:r w:rsidR="009800A6">
              <w:rPr>
                <w:rFonts w:ascii="Georgia" w:hAnsi="Georgia"/>
                <w:lang w:val="ro-RO"/>
              </w:rPr>
              <w:t>prevenirii insolvenței și insolvenței</w:t>
            </w:r>
            <w:r w:rsidRPr="009446D9">
              <w:rPr>
                <w:rFonts w:ascii="Georgia" w:hAnsi="Georgia"/>
                <w:lang w:val="ro-RO"/>
              </w:rPr>
              <w:t xml:space="preserve"> a întreprinderii cu scop lucrativ;</w:t>
            </w:r>
          </w:p>
          <w:p w14:paraId="7044EF32" w14:textId="77777777" w:rsidR="00993C01" w:rsidRPr="009446D9" w:rsidRDefault="00993C01" w:rsidP="00993C01">
            <w:pPr>
              <w:numPr>
                <w:ilvl w:val="0"/>
                <w:numId w:val="8"/>
              </w:numPr>
              <w:jc w:val="both"/>
              <w:rPr>
                <w:rFonts w:ascii="Georgia" w:hAnsi="Georgia"/>
                <w:lang w:val="ro-RO"/>
              </w:rPr>
            </w:pPr>
            <w:r w:rsidRPr="009446D9">
              <w:rPr>
                <w:rFonts w:ascii="Georgia" w:hAnsi="Georgia"/>
                <w:lang w:val="ro-RO"/>
              </w:rPr>
              <w:t>Analiza critică a situațiilor și dispozițiilor juridice prin aplicarea corectă a principiilor de drept, a instituțiilor și conceptelor studiate la relațiile sociale reglementate.</w:t>
            </w:r>
          </w:p>
          <w:p w14:paraId="1F995591" w14:textId="77777777" w:rsidR="00993C01" w:rsidRPr="009446D9" w:rsidRDefault="00993C01" w:rsidP="00993C01">
            <w:pPr>
              <w:numPr>
                <w:ilvl w:val="0"/>
                <w:numId w:val="8"/>
              </w:numPr>
              <w:jc w:val="both"/>
              <w:rPr>
                <w:rFonts w:ascii="Georgia" w:hAnsi="Georgia"/>
                <w:lang w:val="ro-RO"/>
              </w:rPr>
            </w:pPr>
            <w:r w:rsidRPr="009446D9">
              <w:rPr>
                <w:rFonts w:ascii="Georgia" w:hAnsi="Georgia"/>
                <w:lang w:val="ro-RO"/>
              </w:rPr>
              <w:t>Formarea şi dezvoltarea deprinderilor necesare în vederea analizării şi aplicării instituţiilor dreptului comercial prin corelație unele cu celelalte, și ca parte a unui sistem unitar;</w:t>
            </w:r>
          </w:p>
          <w:p w14:paraId="58744DA7" w14:textId="77777777" w:rsidR="00993C01" w:rsidRPr="009446D9" w:rsidRDefault="00993C01" w:rsidP="00993C01">
            <w:pPr>
              <w:numPr>
                <w:ilvl w:val="0"/>
                <w:numId w:val="8"/>
              </w:numPr>
              <w:jc w:val="both"/>
              <w:rPr>
                <w:rFonts w:ascii="Georgia" w:hAnsi="Georgia"/>
                <w:lang w:val="ro-RO"/>
              </w:rPr>
            </w:pPr>
            <w:r w:rsidRPr="009446D9">
              <w:rPr>
                <w:rFonts w:ascii="Georgia" w:hAnsi="Georgia"/>
                <w:lang w:val="ro-RO"/>
              </w:rPr>
              <w:t>Familiarizarea studenților cu practica judiciară relevantă pe marginea problemelor studiate</w:t>
            </w:r>
          </w:p>
          <w:p w14:paraId="61632624" w14:textId="77777777" w:rsidR="00993C01" w:rsidRPr="00D55970" w:rsidRDefault="00993C01" w:rsidP="00993C01">
            <w:pPr>
              <w:rPr>
                <w:color w:val="FF0000"/>
                <w:lang w:val="ro-RO"/>
              </w:rPr>
            </w:pPr>
          </w:p>
        </w:tc>
      </w:tr>
    </w:tbl>
    <w:p w14:paraId="143C6CA8" w14:textId="77777777" w:rsidR="00DF5C86" w:rsidRPr="00B060A3" w:rsidRDefault="00DF5C86" w:rsidP="00DF5C86">
      <w:pPr>
        <w:rPr>
          <w:lang w:val="ro-RO"/>
        </w:rPr>
      </w:pPr>
    </w:p>
    <w:p w14:paraId="6D21317C" w14:textId="77777777" w:rsidR="00DF5C86" w:rsidRPr="00B060A3" w:rsidRDefault="00DF5C86" w:rsidP="00DF5C86">
      <w:pPr>
        <w:rPr>
          <w:b/>
          <w:lang w:val="ro-RO"/>
        </w:rPr>
      </w:pPr>
      <w:r w:rsidRPr="00B060A3">
        <w:rPr>
          <w:b/>
          <w:lang w:val="ro-RO"/>
        </w:rPr>
        <w:t>8. Conţinuturi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552"/>
        <w:gridCol w:w="2562"/>
      </w:tblGrid>
      <w:tr w:rsidR="00DF5C86" w:rsidRPr="00B060A3" w14:paraId="288D45EF" w14:textId="77777777" w:rsidTr="00C1331A">
        <w:tc>
          <w:tcPr>
            <w:tcW w:w="4786" w:type="dxa"/>
          </w:tcPr>
          <w:p w14:paraId="2D7454B0" w14:textId="4BFAA08C" w:rsidR="00DF5C86" w:rsidRPr="003574C1" w:rsidRDefault="00DF5C86" w:rsidP="00C1331A">
            <w:pPr>
              <w:rPr>
                <w:b/>
                <w:lang w:val="it-IT"/>
              </w:rPr>
            </w:pPr>
            <w:r w:rsidRPr="00B060A3">
              <w:rPr>
                <w:b/>
                <w:lang w:val="ro-RO"/>
              </w:rPr>
              <w:t>8.1</w:t>
            </w:r>
            <w:r>
              <w:rPr>
                <w:b/>
                <w:lang w:val="ro-RO"/>
              </w:rPr>
              <w:t>.</w:t>
            </w:r>
            <w:r w:rsidR="007442D2">
              <w:rPr>
                <w:b/>
                <w:lang w:val="ro-RO"/>
              </w:rPr>
              <w:t xml:space="preserve"> AI</w:t>
            </w:r>
            <w:r w:rsidR="00F71070">
              <w:rPr>
                <w:b/>
                <w:lang w:val="ro-RO"/>
              </w:rPr>
              <w:t>, SI</w:t>
            </w:r>
            <w:r>
              <w:rPr>
                <w:b/>
                <w:lang w:val="ro-RO"/>
              </w:rPr>
              <w:t xml:space="preserve"> </w:t>
            </w:r>
          </w:p>
        </w:tc>
        <w:tc>
          <w:tcPr>
            <w:tcW w:w="2552" w:type="dxa"/>
            <w:vAlign w:val="center"/>
          </w:tcPr>
          <w:p w14:paraId="62E1BA7A" w14:textId="77777777" w:rsidR="00DF5C86" w:rsidRPr="00B060A3" w:rsidRDefault="00DF5C86" w:rsidP="00C1331A">
            <w:pPr>
              <w:jc w:val="center"/>
              <w:rPr>
                <w:lang w:val="ro-RO"/>
              </w:rPr>
            </w:pPr>
            <w:r w:rsidRPr="00B060A3">
              <w:rPr>
                <w:lang w:val="ro-RO"/>
              </w:rPr>
              <w:t>Metode de predare</w:t>
            </w:r>
          </w:p>
        </w:tc>
        <w:tc>
          <w:tcPr>
            <w:tcW w:w="2562" w:type="dxa"/>
            <w:vAlign w:val="center"/>
          </w:tcPr>
          <w:p w14:paraId="08BBD2A9" w14:textId="77777777" w:rsidR="00DF5C86" w:rsidRPr="00B060A3" w:rsidRDefault="00DF5C86" w:rsidP="00C1331A">
            <w:pPr>
              <w:jc w:val="center"/>
              <w:rPr>
                <w:lang w:val="ro-RO"/>
              </w:rPr>
            </w:pPr>
            <w:r w:rsidRPr="00B060A3">
              <w:rPr>
                <w:lang w:val="ro-RO"/>
              </w:rPr>
              <w:t>Observaţii</w:t>
            </w:r>
          </w:p>
        </w:tc>
      </w:tr>
      <w:tr w:rsidR="00DF5C86" w:rsidRPr="004060B4" w14:paraId="42E239E2" w14:textId="77777777" w:rsidTr="00C1331A">
        <w:tc>
          <w:tcPr>
            <w:tcW w:w="4786" w:type="dxa"/>
          </w:tcPr>
          <w:p w14:paraId="4EC09F91" w14:textId="6971BE7F" w:rsidR="00DF5C86" w:rsidRPr="00B060A3" w:rsidRDefault="00993C01" w:rsidP="00C1331A">
            <w:pPr>
              <w:rPr>
                <w:lang w:val="ro-RO"/>
              </w:rPr>
            </w:pPr>
            <w:r>
              <w:rPr>
                <w:lang w:val="ro-RO"/>
              </w:rPr>
              <w:t xml:space="preserve">Modul 1. Întreprinderea. Noțiune. Definiții. Taxonomie. </w:t>
            </w:r>
            <w:r w:rsidR="00180390">
              <w:rPr>
                <w:lang w:val="ro-RO"/>
              </w:rPr>
              <w:t>Dificultatea</w:t>
            </w:r>
            <w:r>
              <w:rPr>
                <w:lang w:val="ro-RO"/>
              </w:rPr>
              <w:t xml:space="preserve"> întreprinderii. Noțiune. Tehnici juridice de </w:t>
            </w:r>
            <w:r w:rsidR="00180390">
              <w:rPr>
                <w:lang w:val="ro-RO"/>
              </w:rPr>
              <w:t>prevenire a insolvenței</w:t>
            </w:r>
            <w:r>
              <w:rPr>
                <w:lang w:val="ro-RO"/>
              </w:rPr>
              <w:t>.</w:t>
            </w:r>
          </w:p>
        </w:tc>
        <w:tc>
          <w:tcPr>
            <w:tcW w:w="2552" w:type="dxa"/>
          </w:tcPr>
          <w:p w14:paraId="4EB64AED" w14:textId="6835CBB3" w:rsidR="00DF5C86" w:rsidRPr="00B060A3" w:rsidRDefault="00993C01" w:rsidP="00C1331A">
            <w:pPr>
              <w:rPr>
                <w:lang w:val="ro-RO"/>
              </w:rPr>
            </w:pPr>
            <w:r>
              <w:rPr>
                <w:lang w:val="ro-RO"/>
              </w:rPr>
              <w:t>Studenții vor utiliza materialele de studiu încărcate ep platformă și indicate la resursele bibliografice</w:t>
            </w:r>
          </w:p>
        </w:tc>
        <w:tc>
          <w:tcPr>
            <w:tcW w:w="2562" w:type="dxa"/>
          </w:tcPr>
          <w:p w14:paraId="42654A5A" w14:textId="2AFF5B50" w:rsidR="00DF5C86" w:rsidRPr="00B060A3" w:rsidRDefault="00993C01" w:rsidP="00C1331A">
            <w:pPr>
              <w:rPr>
                <w:lang w:val="ro-RO"/>
              </w:rPr>
            </w:pPr>
            <w:r w:rsidRPr="00993C01">
              <w:rPr>
                <w:lang w:val="ro-RO"/>
              </w:rPr>
              <w:t>Studenții vor aloca cel puțin un număr de ore prescris de către materialel indicate și încărcate pe portal</w:t>
            </w:r>
            <w:r w:rsidR="00E05207" w:rsidRPr="00993C01">
              <w:rPr>
                <w:lang w:val="ro-RO"/>
              </w:rPr>
              <w:t xml:space="preserve"> </w:t>
            </w:r>
          </w:p>
        </w:tc>
      </w:tr>
      <w:tr w:rsidR="00DF5C86" w:rsidRPr="00B060A3" w14:paraId="64B59A22" w14:textId="77777777" w:rsidTr="00C1331A">
        <w:tc>
          <w:tcPr>
            <w:tcW w:w="4786" w:type="dxa"/>
          </w:tcPr>
          <w:p w14:paraId="7BD36F1C" w14:textId="26FCFAFF" w:rsidR="00DF5C86" w:rsidRPr="00B060A3" w:rsidRDefault="00993C01" w:rsidP="00C1331A">
            <w:pPr>
              <w:rPr>
                <w:lang w:val="ro-RO"/>
              </w:rPr>
            </w:pPr>
            <w:r>
              <w:rPr>
                <w:lang w:val="ro-RO"/>
              </w:rPr>
              <w:t xml:space="preserve">Modulul 2. </w:t>
            </w:r>
            <w:r w:rsidR="00180390">
              <w:rPr>
                <w:lang w:val="ro-RO"/>
              </w:rPr>
              <w:t xml:space="preserve">Acordul de restructure. Concordatul preventiv. </w:t>
            </w:r>
          </w:p>
        </w:tc>
        <w:tc>
          <w:tcPr>
            <w:tcW w:w="2552" w:type="dxa"/>
          </w:tcPr>
          <w:p w14:paraId="795A8778" w14:textId="7C4768C0" w:rsidR="00DF5C86" w:rsidRPr="009446D9" w:rsidRDefault="009446D9" w:rsidP="009446D9">
            <w:pPr>
              <w:pStyle w:val="ListParagraph"/>
              <w:ind w:left="-47"/>
              <w:jc w:val="center"/>
              <w:rPr>
                <w:lang w:val="ro-RO"/>
              </w:rPr>
            </w:pPr>
            <w:r>
              <w:rPr>
                <w:lang w:val="ro-RO"/>
              </w:rPr>
              <w:t>- / -</w:t>
            </w:r>
          </w:p>
        </w:tc>
        <w:tc>
          <w:tcPr>
            <w:tcW w:w="2562" w:type="dxa"/>
          </w:tcPr>
          <w:p w14:paraId="210C0201" w14:textId="40BC32D5" w:rsidR="00DF5C86" w:rsidRPr="00B060A3" w:rsidRDefault="009446D9" w:rsidP="009446D9">
            <w:pPr>
              <w:jc w:val="center"/>
              <w:rPr>
                <w:lang w:val="ro-RO"/>
              </w:rPr>
            </w:pPr>
            <w:r>
              <w:rPr>
                <w:lang w:val="ro-RO"/>
              </w:rPr>
              <w:t>- / -</w:t>
            </w:r>
          </w:p>
        </w:tc>
      </w:tr>
      <w:tr w:rsidR="00DF5C86" w:rsidRPr="00B060A3" w14:paraId="22342D39" w14:textId="77777777" w:rsidTr="00C1331A">
        <w:tc>
          <w:tcPr>
            <w:tcW w:w="4786" w:type="dxa"/>
          </w:tcPr>
          <w:p w14:paraId="25E6E5EA" w14:textId="3120270D" w:rsidR="00DF5C86" w:rsidRPr="00B060A3" w:rsidRDefault="00993C01" w:rsidP="00C1331A">
            <w:pPr>
              <w:rPr>
                <w:lang w:val="ro-RO"/>
              </w:rPr>
            </w:pPr>
            <w:r>
              <w:rPr>
                <w:lang w:val="ro-RO"/>
              </w:rPr>
              <w:t xml:space="preserve">Modulul 3. </w:t>
            </w:r>
            <w:r w:rsidR="00180390">
              <w:rPr>
                <w:lang w:val="ro-RO"/>
              </w:rPr>
              <w:t>Procedura insolvenței.Deschiderea procedurii. Organe. Competențe. Efecte.</w:t>
            </w:r>
          </w:p>
        </w:tc>
        <w:tc>
          <w:tcPr>
            <w:tcW w:w="2552" w:type="dxa"/>
          </w:tcPr>
          <w:p w14:paraId="260F1A80" w14:textId="0087F09B" w:rsidR="00DF5C86" w:rsidRPr="00B060A3" w:rsidRDefault="009446D9" w:rsidP="009446D9">
            <w:pPr>
              <w:jc w:val="center"/>
              <w:rPr>
                <w:lang w:val="ro-RO"/>
              </w:rPr>
            </w:pPr>
            <w:r>
              <w:rPr>
                <w:lang w:val="ro-RO"/>
              </w:rPr>
              <w:t>- / -</w:t>
            </w:r>
          </w:p>
        </w:tc>
        <w:tc>
          <w:tcPr>
            <w:tcW w:w="2562" w:type="dxa"/>
          </w:tcPr>
          <w:p w14:paraId="2C7867D5" w14:textId="0EF6EC00" w:rsidR="00DF5C86" w:rsidRPr="00B060A3" w:rsidRDefault="009446D9" w:rsidP="009446D9">
            <w:pPr>
              <w:jc w:val="center"/>
              <w:rPr>
                <w:lang w:val="ro-RO"/>
              </w:rPr>
            </w:pPr>
            <w:r>
              <w:rPr>
                <w:lang w:val="ro-RO"/>
              </w:rPr>
              <w:t>- / -</w:t>
            </w:r>
          </w:p>
        </w:tc>
      </w:tr>
      <w:tr w:rsidR="00DF5C86" w:rsidRPr="00B060A3" w14:paraId="66348DA8" w14:textId="77777777" w:rsidTr="00C1331A">
        <w:tc>
          <w:tcPr>
            <w:tcW w:w="4786" w:type="dxa"/>
          </w:tcPr>
          <w:p w14:paraId="46B7AB30" w14:textId="3C97D2F0" w:rsidR="00DF5C86" w:rsidRPr="00B060A3" w:rsidRDefault="00993C01" w:rsidP="00C1331A">
            <w:pPr>
              <w:rPr>
                <w:lang w:val="ro-RO"/>
              </w:rPr>
            </w:pPr>
            <w:r>
              <w:rPr>
                <w:lang w:val="ro-RO"/>
              </w:rPr>
              <w:t xml:space="preserve">Modulul 4. </w:t>
            </w:r>
            <w:r w:rsidR="00180390">
              <w:rPr>
                <w:lang w:val="ro-RO"/>
              </w:rPr>
              <w:t>Procedura anulării actelor frauduloase. Reorganizarea judiciară. Falimentul.</w:t>
            </w:r>
          </w:p>
        </w:tc>
        <w:tc>
          <w:tcPr>
            <w:tcW w:w="2552" w:type="dxa"/>
          </w:tcPr>
          <w:p w14:paraId="0F2F3538" w14:textId="5A8A8FE6" w:rsidR="00DF5C86" w:rsidRPr="00B060A3" w:rsidRDefault="009446D9" w:rsidP="009446D9">
            <w:pPr>
              <w:jc w:val="center"/>
              <w:rPr>
                <w:lang w:val="ro-RO"/>
              </w:rPr>
            </w:pPr>
            <w:r>
              <w:rPr>
                <w:lang w:val="ro-RO"/>
              </w:rPr>
              <w:t>- / -</w:t>
            </w:r>
          </w:p>
        </w:tc>
        <w:tc>
          <w:tcPr>
            <w:tcW w:w="2562" w:type="dxa"/>
          </w:tcPr>
          <w:p w14:paraId="21196496" w14:textId="31C86E94" w:rsidR="00DF5C86" w:rsidRPr="00B060A3" w:rsidRDefault="009446D9" w:rsidP="009446D9">
            <w:pPr>
              <w:jc w:val="center"/>
              <w:rPr>
                <w:lang w:val="ro-RO"/>
              </w:rPr>
            </w:pPr>
            <w:r>
              <w:rPr>
                <w:lang w:val="ro-RO"/>
              </w:rPr>
              <w:t>- / -</w:t>
            </w:r>
          </w:p>
        </w:tc>
      </w:tr>
      <w:tr w:rsidR="00DF5C86" w:rsidRPr="00993C01" w14:paraId="36806FBB" w14:textId="77777777" w:rsidTr="00C1331A">
        <w:tc>
          <w:tcPr>
            <w:tcW w:w="4786" w:type="dxa"/>
          </w:tcPr>
          <w:p w14:paraId="092B4498" w14:textId="44D48DB2" w:rsidR="00DF5C86" w:rsidRPr="00B060A3" w:rsidRDefault="00993C01" w:rsidP="00C1331A">
            <w:pPr>
              <w:rPr>
                <w:lang w:val="ro-RO"/>
              </w:rPr>
            </w:pPr>
            <w:r>
              <w:rPr>
                <w:lang w:val="ro-RO"/>
              </w:rPr>
              <w:t xml:space="preserve">Modulul </w:t>
            </w:r>
            <w:r w:rsidR="009446D9">
              <w:rPr>
                <w:lang w:val="ro-RO"/>
              </w:rPr>
              <w:t>5</w:t>
            </w:r>
            <w:r>
              <w:rPr>
                <w:lang w:val="ro-RO"/>
              </w:rPr>
              <w:t xml:space="preserve">. </w:t>
            </w:r>
            <w:r w:rsidR="00180390">
              <w:rPr>
                <w:lang w:val="ro-RO"/>
              </w:rPr>
              <w:t>Atragerea răspunderii pentru cauzarea stării de insolvență. Închiderea procedurii. Efecte.</w:t>
            </w:r>
          </w:p>
        </w:tc>
        <w:tc>
          <w:tcPr>
            <w:tcW w:w="2552" w:type="dxa"/>
          </w:tcPr>
          <w:p w14:paraId="5BF33789" w14:textId="10BF5807" w:rsidR="00DF5C86" w:rsidRPr="00B060A3" w:rsidRDefault="009446D9" w:rsidP="009446D9">
            <w:pPr>
              <w:jc w:val="center"/>
              <w:rPr>
                <w:lang w:val="ro-RO"/>
              </w:rPr>
            </w:pPr>
            <w:r>
              <w:rPr>
                <w:lang w:val="ro-RO"/>
              </w:rPr>
              <w:t>- / -</w:t>
            </w:r>
          </w:p>
        </w:tc>
        <w:tc>
          <w:tcPr>
            <w:tcW w:w="2562" w:type="dxa"/>
          </w:tcPr>
          <w:p w14:paraId="1CA66514" w14:textId="7146EE8B" w:rsidR="00DF5C86" w:rsidRPr="00B060A3" w:rsidRDefault="009446D9" w:rsidP="009446D9">
            <w:pPr>
              <w:jc w:val="center"/>
              <w:rPr>
                <w:lang w:val="ro-RO"/>
              </w:rPr>
            </w:pPr>
            <w:r>
              <w:rPr>
                <w:lang w:val="ro-RO"/>
              </w:rPr>
              <w:t>- / -</w:t>
            </w:r>
          </w:p>
        </w:tc>
      </w:tr>
      <w:tr w:rsidR="00DF5C86" w:rsidRPr="004060B4" w14:paraId="6CD8D8D6" w14:textId="77777777" w:rsidTr="00C1331A">
        <w:tc>
          <w:tcPr>
            <w:tcW w:w="9900" w:type="dxa"/>
            <w:gridSpan w:val="3"/>
          </w:tcPr>
          <w:p w14:paraId="2F23BE0C" w14:textId="77777777" w:rsidR="00C0027F" w:rsidRPr="00657BE8" w:rsidRDefault="00C0027F" w:rsidP="00C0027F">
            <w:pPr>
              <w:ind w:left="284"/>
              <w:rPr>
                <w:rFonts w:ascii="Georgia" w:hAnsi="Georgia"/>
              </w:rPr>
            </w:pPr>
            <w:r>
              <w:rPr>
                <w:rFonts w:ascii="Georgia" w:hAnsi="Georgia"/>
              </w:rPr>
              <w:t xml:space="preserve">8.1. </w:t>
            </w:r>
            <w:r w:rsidRPr="00657BE8">
              <w:rPr>
                <w:rFonts w:ascii="Georgia" w:hAnsi="Georgia"/>
              </w:rPr>
              <w:t>Bibliografie</w:t>
            </w:r>
            <w:r>
              <w:rPr>
                <w:rFonts w:ascii="Georgia" w:hAnsi="Georgia"/>
              </w:rPr>
              <w:t>:</w:t>
            </w:r>
          </w:p>
          <w:p w14:paraId="093EA994" w14:textId="77777777" w:rsidR="00C0027F" w:rsidRPr="00657BE8" w:rsidRDefault="00C0027F" w:rsidP="00C0027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hanging="357"/>
              <w:jc w:val="both"/>
              <w:rPr>
                <w:rFonts w:ascii="Georgia" w:hAnsi="Georgia"/>
                <w:b/>
              </w:rPr>
            </w:pPr>
            <w:r w:rsidRPr="00657BE8">
              <w:rPr>
                <w:rFonts w:ascii="Georgia" w:hAnsi="Georgia"/>
                <w:b/>
              </w:rPr>
              <w:t>Obligatorie:</w:t>
            </w:r>
          </w:p>
          <w:p w14:paraId="43FC56BA" w14:textId="77777777" w:rsidR="00C0027F" w:rsidRPr="00657BE8" w:rsidRDefault="00C0027F" w:rsidP="00C0027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hanging="357"/>
              <w:jc w:val="both"/>
              <w:rPr>
                <w:rFonts w:ascii="Georgia" w:hAnsi="Georgia"/>
                <w:b/>
              </w:rPr>
            </w:pPr>
          </w:p>
          <w:p w14:paraId="4297EDBE" w14:textId="77777777" w:rsidR="00C0027F" w:rsidRDefault="00C0027F" w:rsidP="00C0027F">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sidRPr="00946DAE">
              <w:rPr>
                <w:rFonts w:ascii="Georgia" w:hAnsi="Georgia"/>
              </w:rPr>
              <w:t>Csaba Bela Nasz</w:t>
            </w:r>
            <w:r>
              <w:rPr>
                <w:rFonts w:ascii="Georgia" w:hAnsi="Georgia"/>
              </w:rPr>
              <w:t xml:space="preserve">, Dreptul insolvenței. Curs universitar, Ediția a II-a, revizuită și adăugită, </w:t>
            </w:r>
            <w:r w:rsidRPr="00657BE8">
              <w:rPr>
                <w:rFonts w:ascii="Georgia" w:hAnsi="Georgia"/>
              </w:rPr>
              <w:t>Ed. Universul juridic, București, 201</w:t>
            </w:r>
            <w:r>
              <w:rPr>
                <w:rFonts w:ascii="Georgia" w:hAnsi="Georgia"/>
              </w:rPr>
              <w:t>8</w:t>
            </w:r>
          </w:p>
          <w:p w14:paraId="59887980" w14:textId="77777777" w:rsidR="00C0027F" w:rsidRPr="000A7C5E" w:rsidRDefault="00C0027F" w:rsidP="00C0027F">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sidRPr="000A7C5E">
              <w:rPr>
                <w:rFonts w:ascii="Georgia" w:hAnsi="Georgia"/>
              </w:rPr>
              <w:t>S. Golub, Legea insolvenței vs. Codul civil, Phoenix, nr. 45, an 2013, p. 19-26.</w:t>
            </w:r>
          </w:p>
          <w:p w14:paraId="63A9F76B" w14:textId="77777777" w:rsidR="00C0027F" w:rsidRPr="00C0027F" w:rsidRDefault="00C0027F" w:rsidP="00C0027F">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fr-FR"/>
              </w:rPr>
            </w:pPr>
            <w:r w:rsidRPr="00C0027F">
              <w:rPr>
                <w:rFonts w:ascii="Georgia" w:hAnsi="Georgia"/>
                <w:lang w:val="fr-FR"/>
              </w:rPr>
              <w:t>S. Golub, Clauza de rezerva a dreptului de proprietate in procedura insolventei..., RSDC, 3-2018, p 6-40.</w:t>
            </w:r>
          </w:p>
          <w:p w14:paraId="0A85AE7F" w14:textId="77777777" w:rsidR="00C0027F" w:rsidRPr="000A7C5E" w:rsidRDefault="00C0027F" w:rsidP="00C0027F">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sidRPr="000A7C5E">
              <w:rPr>
                <w:rFonts w:ascii="Georgia" w:hAnsi="Georgia"/>
              </w:rPr>
              <w:t>S. Golub, Despre compatibilitatea tehnicilor de reorganizare ... PHOENIX_2016 aprilie septembrie, p. 21-35.</w:t>
            </w:r>
          </w:p>
          <w:p w14:paraId="458403D2" w14:textId="77777777" w:rsidR="00C0027F" w:rsidRPr="000A7C5E" w:rsidRDefault="00C0027F" w:rsidP="00C0027F">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sidRPr="000A7C5E">
              <w:rPr>
                <w:rFonts w:ascii="Georgia" w:hAnsi="Georgia"/>
              </w:rPr>
              <w:t>Sergiu Golub, False creanțe in procedura insolventei, Tax Magazine nr. 2-2016</w:t>
            </w:r>
          </w:p>
          <w:p w14:paraId="74936647" w14:textId="77777777" w:rsidR="00C0027F" w:rsidRPr="000A7C5E" w:rsidRDefault="00C0027F" w:rsidP="00C0027F">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sidRPr="000A7C5E">
              <w:rPr>
                <w:rFonts w:ascii="Georgia" w:hAnsi="Georgia"/>
              </w:rPr>
              <w:t>S. Golub, Din nou despre false creanțe in procedura insolventei, RRDA, nr. 9 -2016, p. 81-102.</w:t>
            </w:r>
          </w:p>
          <w:p w14:paraId="55C7AD93" w14:textId="77777777" w:rsidR="00C0027F" w:rsidRPr="000A7C5E" w:rsidRDefault="00C0027F" w:rsidP="00C0027F">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rPr>
            </w:pPr>
            <w:r w:rsidRPr="000A7C5E">
              <w:rPr>
                <w:rFonts w:ascii="Georgia" w:hAnsi="Georgia"/>
              </w:rPr>
              <w:t>S. Golub, N</w:t>
            </w:r>
            <w:r>
              <w:rPr>
                <w:rFonts w:ascii="Georgia" w:hAnsi="Georgia"/>
              </w:rPr>
              <w:t>.</w:t>
            </w:r>
            <w:r w:rsidRPr="000A7C5E">
              <w:rPr>
                <w:rFonts w:ascii="Georgia" w:hAnsi="Georgia"/>
              </w:rPr>
              <w:t xml:space="preserve"> Pușcariu, Câteva considerații cu privire la compensația legală în procedura insolvenței, </w:t>
            </w:r>
            <w:r>
              <w:rPr>
                <w:rFonts w:ascii="Georgia" w:hAnsi="Georgia"/>
              </w:rPr>
              <w:t>RRDA</w:t>
            </w:r>
            <w:r w:rsidRPr="000A7C5E">
              <w:rPr>
                <w:rFonts w:ascii="Georgia" w:hAnsi="Georgia"/>
              </w:rPr>
              <w:t>,</w:t>
            </w:r>
            <w:r>
              <w:rPr>
                <w:rFonts w:ascii="Georgia" w:hAnsi="Georgia"/>
              </w:rPr>
              <w:t xml:space="preserve"> nr. 2/2016, </w:t>
            </w:r>
            <w:r w:rsidRPr="000A7C5E">
              <w:rPr>
                <w:rFonts w:ascii="Georgia" w:hAnsi="Georgia"/>
              </w:rPr>
              <w:t xml:space="preserve"> p. </w:t>
            </w:r>
            <w:r>
              <w:rPr>
                <w:rFonts w:ascii="Georgia" w:hAnsi="Georgia"/>
              </w:rPr>
              <w:t>79</w:t>
            </w:r>
            <w:r w:rsidRPr="000A7C5E">
              <w:rPr>
                <w:rFonts w:ascii="Georgia" w:hAnsi="Georgia"/>
              </w:rPr>
              <w:t>-</w:t>
            </w:r>
            <w:r>
              <w:rPr>
                <w:rFonts w:ascii="Georgia" w:hAnsi="Georgia"/>
              </w:rPr>
              <w:t>92</w:t>
            </w:r>
            <w:r w:rsidRPr="000A7C5E">
              <w:rPr>
                <w:rFonts w:ascii="Georgia" w:hAnsi="Georgia"/>
              </w:rPr>
              <w:t>.</w:t>
            </w:r>
          </w:p>
          <w:p w14:paraId="685ABCF0" w14:textId="77777777" w:rsidR="00C0027F" w:rsidRPr="00657BE8" w:rsidRDefault="00C0027F" w:rsidP="00C0027F">
            <w:pPr>
              <w:pStyle w:val="ListParagraph"/>
              <w:tabs>
                <w:tab w:val="left" w:pos="-3240"/>
              </w:tabs>
              <w:ind w:left="0"/>
              <w:jc w:val="both"/>
              <w:rPr>
                <w:rFonts w:ascii="Georgia" w:eastAsia="Calibri" w:hAnsi="Georgia"/>
                <w:b/>
              </w:rPr>
            </w:pPr>
            <w:r w:rsidRPr="00657BE8">
              <w:rPr>
                <w:rFonts w:ascii="Georgia" w:eastAsia="Calibri" w:hAnsi="Georgia"/>
                <w:b/>
              </w:rPr>
              <w:t>Facultativă:</w:t>
            </w:r>
          </w:p>
          <w:p w14:paraId="7C0F2989" w14:textId="77777777" w:rsidR="00C0027F" w:rsidRDefault="00C0027F" w:rsidP="00C0027F">
            <w:pPr>
              <w:pStyle w:val="ListParagraph"/>
              <w:numPr>
                <w:ilvl w:val="0"/>
                <w:numId w:val="11"/>
              </w:numPr>
              <w:contextualSpacing w:val="0"/>
              <w:rPr>
                <w:rFonts w:ascii="Georgia" w:hAnsi="Georgia"/>
              </w:rPr>
            </w:pPr>
            <w:r>
              <w:rPr>
                <w:rFonts w:ascii="Georgia" w:hAnsi="Georgia"/>
              </w:rPr>
              <w:t>Gheorghe Piperea, Insolvența: legea, regulile, realitatea, Ed. Wolters Kluwer România, București, 2008;</w:t>
            </w:r>
          </w:p>
          <w:p w14:paraId="6CB9719D" w14:textId="77777777" w:rsidR="00C0027F" w:rsidRDefault="00C0027F" w:rsidP="00C0027F">
            <w:pPr>
              <w:pStyle w:val="ListParagraph"/>
              <w:numPr>
                <w:ilvl w:val="0"/>
                <w:numId w:val="11"/>
              </w:numPr>
              <w:contextualSpacing w:val="0"/>
              <w:rPr>
                <w:rFonts w:ascii="Georgia" w:hAnsi="Georgia"/>
              </w:rPr>
            </w:pPr>
            <w:r>
              <w:rPr>
                <w:rFonts w:ascii="Georgia" w:hAnsi="Georgia"/>
              </w:rPr>
              <w:t>Radu Bufan (coord.), Tratat practic de insolvență, Ed. Hamangiu, București, ed. 2-a, 2022;</w:t>
            </w:r>
          </w:p>
          <w:p w14:paraId="21489630" w14:textId="77777777" w:rsidR="00C0027F" w:rsidRPr="00657BE8" w:rsidRDefault="00C0027F" w:rsidP="00C0027F">
            <w:pPr>
              <w:pStyle w:val="ListParagraph"/>
              <w:numPr>
                <w:ilvl w:val="0"/>
                <w:numId w:val="11"/>
              </w:numPr>
              <w:contextualSpacing w:val="0"/>
              <w:rPr>
                <w:rFonts w:ascii="Georgia" w:hAnsi="Georgia"/>
              </w:rPr>
            </w:pPr>
            <w:r>
              <w:rPr>
                <w:rFonts w:ascii="Georgia" w:hAnsi="Georgia"/>
              </w:rPr>
              <w:t>I. Turcu, Codul insolvenței – Legea nr. 85/2014. Comentariu pe articole, ed. a 5-a, Ed. C.H. Beck, București, 2015.</w:t>
            </w:r>
          </w:p>
          <w:p w14:paraId="75E4FD5D" w14:textId="3B96D158" w:rsidR="00DF5C86" w:rsidRPr="003574C1" w:rsidRDefault="00C0027F" w:rsidP="00C0027F">
            <w:pPr>
              <w:jc w:val="both"/>
              <w:rPr>
                <w:iCs/>
                <w:lang w:val="ro-RO"/>
              </w:rPr>
            </w:pPr>
            <w:r w:rsidRPr="00C0027F">
              <w:rPr>
                <w:rFonts w:ascii="Georgia" w:hAnsi="Georgia"/>
                <w:lang w:val="fr-FR"/>
              </w:rPr>
              <w:t>Orice sursă actualizată de drept comercial, articole de specialitate, jurisprudență comentată, resurse online, baze de date naționale și internaționale, modele de acte juridice studiate etc</w:t>
            </w:r>
            <w:r w:rsidRPr="00C04B68">
              <w:rPr>
                <w:rFonts w:ascii="Georgia" w:hAnsi="Georgia"/>
                <w:lang w:val="ro-RO"/>
              </w:rPr>
              <w:t xml:space="preserve"> </w:t>
            </w:r>
            <w:r w:rsidR="00C04B68" w:rsidRPr="00C04B68">
              <w:rPr>
                <w:rFonts w:ascii="Georgia" w:hAnsi="Georgia"/>
                <w:lang w:val="ro-RO"/>
              </w:rPr>
              <w:t>Orice sursă actualizată de drept comercial, articole de specialitate, jurisprudență comentată, resurse online, baze de date naționale și internaționale, modele de acte juridice studiate etc.</w:t>
            </w:r>
          </w:p>
        </w:tc>
      </w:tr>
      <w:tr w:rsidR="00DF5C86" w:rsidRPr="00B060A3" w14:paraId="771C4B9A" w14:textId="77777777" w:rsidTr="00C1331A">
        <w:tc>
          <w:tcPr>
            <w:tcW w:w="4786" w:type="dxa"/>
          </w:tcPr>
          <w:p w14:paraId="560373EA" w14:textId="6C7A79A6" w:rsidR="00DF5C86" w:rsidRPr="00B060A3" w:rsidRDefault="00DF5C86" w:rsidP="00C1331A">
            <w:pPr>
              <w:rPr>
                <w:b/>
                <w:lang w:val="ro-RO"/>
              </w:rPr>
            </w:pPr>
            <w:r w:rsidRPr="00B060A3">
              <w:rPr>
                <w:b/>
                <w:lang w:val="ro-RO"/>
              </w:rPr>
              <w:t>8.2. AT</w:t>
            </w:r>
            <w:r>
              <w:rPr>
                <w:b/>
                <w:lang w:val="ro-RO"/>
              </w:rPr>
              <w:t xml:space="preserve"> </w:t>
            </w:r>
          </w:p>
        </w:tc>
        <w:tc>
          <w:tcPr>
            <w:tcW w:w="2552" w:type="dxa"/>
            <w:vAlign w:val="center"/>
          </w:tcPr>
          <w:p w14:paraId="5D82C0AE" w14:textId="77777777" w:rsidR="00DF5C86" w:rsidRPr="00B060A3" w:rsidRDefault="00DF5C86" w:rsidP="00C1331A">
            <w:pPr>
              <w:jc w:val="center"/>
              <w:rPr>
                <w:lang w:val="ro-RO"/>
              </w:rPr>
            </w:pPr>
            <w:r w:rsidRPr="00B060A3">
              <w:rPr>
                <w:lang w:val="ro-RO"/>
              </w:rPr>
              <w:t>Metode de predare-învăţare</w:t>
            </w:r>
          </w:p>
        </w:tc>
        <w:tc>
          <w:tcPr>
            <w:tcW w:w="2562" w:type="dxa"/>
            <w:vAlign w:val="center"/>
          </w:tcPr>
          <w:p w14:paraId="7C26C9E5" w14:textId="77777777" w:rsidR="00DF5C86" w:rsidRPr="00B060A3" w:rsidRDefault="00DF5C86" w:rsidP="00C1331A">
            <w:pPr>
              <w:jc w:val="center"/>
              <w:rPr>
                <w:lang w:val="ro-RO"/>
              </w:rPr>
            </w:pPr>
            <w:r w:rsidRPr="00B060A3">
              <w:rPr>
                <w:lang w:val="ro-RO"/>
              </w:rPr>
              <w:t>Observaţii</w:t>
            </w:r>
          </w:p>
        </w:tc>
      </w:tr>
      <w:tr w:rsidR="00C0027F" w:rsidRPr="009446D9" w14:paraId="73730F1C" w14:textId="77777777" w:rsidTr="00C1331A">
        <w:tc>
          <w:tcPr>
            <w:tcW w:w="4786" w:type="dxa"/>
          </w:tcPr>
          <w:p w14:paraId="138D4510" w14:textId="3E606E37" w:rsidR="00C0027F" w:rsidRPr="00B060A3" w:rsidRDefault="00C0027F" w:rsidP="00C0027F">
            <w:pPr>
              <w:autoSpaceDE w:val="0"/>
              <w:autoSpaceDN w:val="0"/>
              <w:ind w:left="34"/>
              <w:rPr>
                <w:bCs/>
                <w:lang w:val="ro-RO"/>
              </w:rPr>
            </w:pPr>
            <w:r>
              <w:rPr>
                <w:lang w:val="ro-RO"/>
              </w:rPr>
              <w:t>Modul 1. Întreprinderea. Noțiune. Definiții. Taxonomie. Dificultatea întreprinderii. Noțiune. Tehnici juridice de prevenire a insolvenței.</w:t>
            </w:r>
          </w:p>
        </w:tc>
        <w:tc>
          <w:tcPr>
            <w:tcW w:w="2552" w:type="dxa"/>
          </w:tcPr>
          <w:p w14:paraId="2D9F42DE" w14:textId="4FAC7BDB" w:rsidR="00C0027F" w:rsidRPr="00B060A3" w:rsidRDefault="00C0027F" w:rsidP="00C0027F">
            <w:pPr>
              <w:autoSpaceDE w:val="0"/>
              <w:autoSpaceDN w:val="0"/>
              <w:ind w:left="34"/>
              <w:rPr>
                <w:lang w:val="ro-RO"/>
              </w:rPr>
            </w:pPr>
            <w:r>
              <w:rPr>
                <w:lang w:val="ro-RO"/>
              </w:rPr>
              <w:t>Prelegere interactivă, problematizare, demonstrare, exegeză de text legal,</w:t>
            </w:r>
          </w:p>
        </w:tc>
        <w:tc>
          <w:tcPr>
            <w:tcW w:w="2562" w:type="dxa"/>
          </w:tcPr>
          <w:p w14:paraId="51D50023" w14:textId="2E40825F" w:rsidR="00C0027F" w:rsidRPr="00B060A3" w:rsidRDefault="00C0027F" w:rsidP="00C0027F">
            <w:pPr>
              <w:rPr>
                <w:lang w:val="ro-RO"/>
              </w:rPr>
            </w:pPr>
            <w:r>
              <w:rPr>
                <w:lang w:val="ro-RO"/>
              </w:rPr>
              <w:t>Primele două ore se desfășoară față în față, iar celelalte se desfășoară online pe platformă</w:t>
            </w:r>
          </w:p>
        </w:tc>
      </w:tr>
      <w:tr w:rsidR="00C0027F" w:rsidRPr="009446D9" w14:paraId="15C27C23" w14:textId="77777777" w:rsidTr="00C1331A">
        <w:tc>
          <w:tcPr>
            <w:tcW w:w="4786" w:type="dxa"/>
          </w:tcPr>
          <w:p w14:paraId="2017A18E" w14:textId="4F93A9D1" w:rsidR="00C0027F" w:rsidRPr="00B060A3" w:rsidRDefault="00C0027F" w:rsidP="00C0027F">
            <w:pPr>
              <w:autoSpaceDE w:val="0"/>
              <w:autoSpaceDN w:val="0"/>
              <w:ind w:left="34"/>
              <w:rPr>
                <w:bCs/>
                <w:lang w:val="ro-RO"/>
              </w:rPr>
            </w:pPr>
            <w:r>
              <w:rPr>
                <w:lang w:val="ro-RO"/>
              </w:rPr>
              <w:t xml:space="preserve">Modulul 2. Acordul de restructure. Concordatul preventiv. </w:t>
            </w:r>
          </w:p>
        </w:tc>
        <w:tc>
          <w:tcPr>
            <w:tcW w:w="2552" w:type="dxa"/>
          </w:tcPr>
          <w:p w14:paraId="459D8C24" w14:textId="59B54FCC" w:rsidR="00C0027F" w:rsidRPr="00B060A3" w:rsidRDefault="00C0027F" w:rsidP="00C0027F">
            <w:pPr>
              <w:jc w:val="center"/>
              <w:rPr>
                <w:lang w:val="ro-RO"/>
              </w:rPr>
            </w:pPr>
            <w:r>
              <w:rPr>
                <w:lang w:val="ro-RO"/>
              </w:rPr>
              <w:t>- / -</w:t>
            </w:r>
          </w:p>
        </w:tc>
        <w:tc>
          <w:tcPr>
            <w:tcW w:w="2562" w:type="dxa"/>
          </w:tcPr>
          <w:p w14:paraId="48162CD3" w14:textId="1BC33B20" w:rsidR="00C0027F" w:rsidRPr="00B060A3" w:rsidRDefault="00C0027F" w:rsidP="00C0027F">
            <w:pPr>
              <w:jc w:val="center"/>
              <w:rPr>
                <w:lang w:val="ro-RO"/>
              </w:rPr>
            </w:pPr>
            <w:r>
              <w:rPr>
                <w:lang w:val="ro-RO"/>
              </w:rPr>
              <w:t>- / -</w:t>
            </w:r>
          </w:p>
        </w:tc>
      </w:tr>
      <w:tr w:rsidR="00C0027F" w:rsidRPr="009446D9" w14:paraId="66D06169" w14:textId="77777777" w:rsidTr="00C1331A">
        <w:tc>
          <w:tcPr>
            <w:tcW w:w="4786" w:type="dxa"/>
          </w:tcPr>
          <w:p w14:paraId="445B80E2" w14:textId="1C77F5F5" w:rsidR="00C0027F" w:rsidRPr="00B060A3" w:rsidRDefault="00C0027F" w:rsidP="00C0027F">
            <w:pPr>
              <w:autoSpaceDE w:val="0"/>
              <w:autoSpaceDN w:val="0"/>
              <w:ind w:left="34"/>
              <w:rPr>
                <w:bCs/>
                <w:lang w:val="ro-RO"/>
              </w:rPr>
            </w:pPr>
            <w:r>
              <w:rPr>
                <w:lang w:val="ro-RO"/>
              </w:rPr>
              <w:t>Modulul 3. Procedura insolvenței.Deschiderea procedurii. Organe. Competențe. Efecte.</w:t>
            </w:r>
          </w:p>
        </w:tc>
        <w:tc>
          <w:tcPr>
            <w:tcW w:w="2552" w:type="dxa"/>
          </w:tcPr>
          <w:p w14:paraId="056C40A3" w14:textId="2BBFF153" w:rsidR="00C0027F" w:rsidRPr="00B060A3" w:rsidRDefault="00C0027F" w:rsidP="00C0027F">
            <w:pPr>
              <w:jc w:val="center"/>
              <w:rPr>
                <w:lang w:val="ro-RO"/>
              </w:rPr>
            </w:pPr>
            <w:r>
              <w:rPr>
                <w:lang w:val="ro-RO"/>
              </w:rPr>
              <w:t>- / -</w:t>
            </w:r>
          </w:p>
        </w:tc>
        <w:tc>
          <w:tcPr>
            <w:tcW w:w="2562" w:type="dxa"/>
          </w:tcPr>
          <w:p w14:paraId="24F85B39" w14:textId="7D99C78D" w:rsidR="00C0027F" w:rsidRPr="00B060A3" w:rsidRDefault="00C0027F" w:rsidP="00C0027F">
            <w:pPr>
              <w:jc w:val="center"/>
              <w:rPr>
                <w:lang w:val="ro-RO"/>
              </w:rPr>
            </w:pPr>
            <w:r>
              <w:rPr>
                <w:lang w:val="ro-RO"/>
              </w:rPr>
              <w:t>- / -</w:t>
            </w:r>
          </w:p>
        </w:tc>
      </w:tr>
      <w:tr w:rsidR="00C0027F" w:rsidRPr="009446D9" w14:paraId="2BE5E9E9" w14:textId="77777777" w:rsidTr="00C1331A">
        <w:tc>
          <w:tcPr>
            <w:tcW w:w="4786" w:type="dxa"/>
          </w:tcPr>
          <w:p w14:paraId="6F9ADA5E" w14:textId="09BEFE40" w:rsidR="00C0027F" w:rsidRPr="00B060A3" w:rsidRDefault="00C0027F" w:rsidP="00C0027F">
            <w:pPr>
              <w:autoSpaceDE w:val="0"/>
              <w:autoSpaceDN w:val="0"/>
              <w:ind w:left="34"/>
              <w:rPr>
                <w:bCs/>
                <w:lang w:val="ro-RO"/>
              </w:rPr>
            </w:pPr>
            <w:r>
              <w:rPr>
                <w:lang w:val="ro-RO"/>
              </w:rPr>
              <w:t>Modulul 4. Procedura anulării actelor frauduloase. Reorganizarea judiciară. Falimentul.</w:t>
            </w:r>
          </w:p>
        </w:tc>
        <w:tc>
          <w:tcPr>
            <w:tcW w:w="2552" w:type="dxa"/>
          </w:tcPr>
          <w:p w14:paraId="22B84AC0" w14:textId="0F897A97" w:rsidR="00C0027F" w:rsidRPr="00B060A3" w:rsidRDefault="00C0027F" w:rsidP="00C0027F">
            <w:pPr>
              <w:jc w:val="center"/>
              <w:rPr>
                <w:lang w:val="ro-RO"/>
              </w:rPr>
            </w:pPr>
            <w:r>
              <w:rPr>
                <w:lang w:val="ro-RO"/>
              </w:rPr>
              <w:t>- / -</w:t>
            </w:r>
          </w:p>
        </w:tc>
        <w:tc>
          <w:tcPr>
            <w:tcW w:w="2562" w:type="dxa"/>
          </w:tcPr>
          <w:p w14:paraId="1318724F" w14:textId="2830AAD4" w:rsidR="00C0027F" w:rsidRPr="00B060A3" w:rsidRDefault="00C0027F" w:rsidP="00C0027F">
            <w:pPr>
              <w:jc w:val="center"/>
              <w:rPr>
                <w:lang w:val="ro-RO"/>
              </w:rPr>
            </w:pPr>
            <w:r>
              <w:rPr>
                <w:lang w:val="ro-RO"/>
              </w:rPr>
              <w:t>- / -</w:t>
            </w:r>
          </w:p>
        </w:tc>
      </w:tr>
      <w:tr w:rsidR="00C0027F" w:rsidRPr="009446D9" w14:paraId="63C9EB33" w14:textId="77777777" w:rsidTr="00C1331A">
        <w:tc>
          <w:tcPr>
            <w:tcW w:w="4786" w:type="dxa"/>
          </w:tcPr>
          <w:p w14:paraId="61210A41" w14:textId="6E87A0E8" w:rsidR="00C0027F" w:rsidRPr="00B060A3" w:rsidRDefault="00C0027F" w:rsidP="00C0027F">
            <w:pPr>
              <w:autoSpaceDE w:val="0"/>
              <w:autoSpaceDN w:val="0"/>
              <w:ind w:left="34"/>
              <w:rPr>
                <w:bCs/>
                <w:lang w:val="ro-RO"/>
              </w:rPr>
            </w:pPr>
            <w:r>
              <w:rPr>
                <w:lang w:val="ro-RO"/>
              </w:rPr>
              <w:t>Modulul 5. Atragerea răspunderii pentru cauzarea stării de insolvență. Închiderea procedurii. Efecte.</w:t>
            </w:r>
          </w:p>
        </w:tc>
        <w:tc>
          <w:tcPr>
            <w:tcW w:w="2552" w:type="dxa"/>
          </w:tcPr>
          <w:p w14:paraId="4B933AA7" w14:textId="6E1654CA" w:rsidR="00C0027F" w:rsidRPr="00B060A3" w:rsidRDefault="00C0027F" w:rsidP="00C0027F">
            <w:pPr>
              <w:jc w:val="center"/>
              <w:rPr>
                <w:lang w:val="ro-RO"/>
              </w:rPr>
            </w:pPr>
            <w:r>
              <w:rPr>
                <w:lang w:val="ro-RO"/>
              </w:rPr>
              <w:t>- / -</w:t>
            </w:r>
          </w:p>
        </w:tc>
        <w:tc>
          <w:tcPr>
            <w:tcW w:w="2562" w:type="dxa"/>
          </w:tcPr>
          <w:p w14:paraId="6A3DE6BE" w14:textId="69BFB80D" w:rsidR="00C0027F" w:rsidRPr="00B060A3" w:rsidRDefault="00C0027F" w:rsidP="00C0027F">
            <w:pPr>
              <w:jc w:val="center"/>
              <w:rPr>
                <w:lang w:val="ro-RO"/>
              </w:rPr>
            </w:pPr>
            <w:r>
              <w:rPr>
                <w:lang w:val="ro-RO"/>
              </w:rPr>
              <w:t>- / -</w:t>
            </w:r>
          </w:p>
        </w:tc>
      </w:tr>
      <w:tr w:rsidR="009446D9" w:rsidRPr="004060B4" w14:paraId="7A1583E5" w14:textId="77777777" w:rsidTr="00C1331A">
        <w:tc>
          <w:tcPr>
            <w:tcW w:w="9900" w:type="dxa"/>
            <w:gridSpan w:val="3"/>
          </w:tcPr>
          <w:p w14:paraId="5450FE1C" w14:textId="77777777" w:rsidR="009446D9" w:rsidRPr="00B060A3" w:rsidRDefault="009446D9" w:rsidP="009446D9">
            <w:pPr>
              <w:rPr>
                <w:lang w:val="ro-RO"/>
              </w:rPr>
            </w:pPr>
            <w:r w:rsidRPr="00B060A3">
              <w:rPr>
                <w:lang w:val="ro-RO"/>
              </w:rPr>
              <w:t>Bibliografie</w:t>
            </w:r>
            <w:r>
              <w:rPr>
                <w:lang w:val="ro-RO"/>
              </w:rPr>
              <w:t>:</w:t>
            </w:r>
          </w:p>
          <w:p w14:paraId="4231584E" w14:textId="7B4E6280" w:rsidR="009446D9" w:rsidRPr="003574C1" w:rsidRDefault="00C04B68" w:rsidP="009446D9">
            <w:pPr>
              <w:jc w:val="both"/>
              <w:rPr>
                <w:iCs/>
                <w:lang w:val="ro-RO"/>
              </w:rPr>
            </w:pPr>
            <w:r w:rsidRPr="00C04B68">
              <w:rPr>
                <w:bCs/>
                <w:lang w:val="ro-RO"/>
              </w:rPr>
              <w:t>A se vedea 8.1.</w:t>
            </w:r>
          </w:p>
        </w:tc>
      </w:tr>
      <w:tr w:rsidR="009446D9" w:rsidRPr="00B060A3" w14:paraId="0E1D73D1" w14:textId="77777777" w:rsidTr="00C1331A">
        <w:tc>
          <w:tcPr>
            <w:tcW w:w="4786" w:type="dxa"/>
            <w:vAlign w:val="center"/>
          </w:tcPr>
          <w:p w14:paraId="2671E70C" w14:textId="0B4C1F3A" w:rsidR="009446D9" w:rsidRPr="00B060A3" w:rsidRDefault="009446D9" w:rsidP="009446D9">
            <w:pPr>
              <w:rPr>
                <w:b/>
                <w:lang w:val="ro-RO"/>
              </w:rPr>
            </w:pPr>
            <w:r w:rsidRPr="00B060A3">
              <w:rPr>
                <w:b/>
                <w:lang w:val="ro-RO"/>
              </w:rPr>
              <w:t>8.3. TC</w:t>
            </w:r>
            <w:r>
              <w:rPr>
                <w:b/>
                <w:lang w:val="ro-RO"/>
              </w:rPr>
              <w:t xml:space="preserve"> </w:t>
            </w:r>
          </w:p>
        </w:tc>
        <w:tc>
          <w:tcPr>
            <w:tcW w:w="2552" w:type="dxa"/>
            <w:vAlign w:val="center"/>
          </w:tcPr>
          <w:p w14:paraId="7AB97EC3" w14:textId="77777777" w:rsidR="009446D9" w:rsidRPr="00B060A3" w:rsidRDefault="009446D9" w:rsidP="009446D9">
            <w:pPr>
              <w:jc w:val="center"/>
              <w:rPr>
                <w:lang w:val="ro-RO"/>
              </w:rPr>
            </w:pPr>
            <w:r w:rsidRPr="00B060A3">
              <w:rPr>
                <w:lang w:val="ro-RO"/>
              </w:rPr>
              <w:t>Metode de transmitere a informaţiei</w:t>
            </w:r>
          </w:p>
        </w:tc>
        <w:tc>
          <w:tcPr>
            <w:tcW w:w="2562" w:type="dxa"/>
            <w:vAlign w:val="center"/>
          </w:tcPr>
          <w:p w14:paraId="39410304" w14:textId="77777777" w:rsidR="009446D9" w:rsidRPr="00B060A3" w:rsidRDefault="009446D9" w:rsidP="009446D9">
            <w:pPr>
              <w:jc w:val="center"/>
              <w:rPr>
                <w:lang w:val="ro-RO"/>
              </w:rPr>
            </w:pPr>
            <w:r w:rsidRPr="00B060A3">
              <w:rPr>
                <w:lang w:val="ro-RO"/>
              </w:rPr>
              <w:t>Observaţii</w:t>
            </w:r>
          </w:p>
        </w:tc>
      </w:tr>
      <w:tr w:rsidR="009446D9" w:rsidRPr="00C04B68" w14:paraId="3B7A003B" w14:textId="77777777" w:rsidTr="00C1331A">
        <w:tc>
          <w:tcPr>
            <w:tcW w:w="4786" w:type="dxa"/>
          </w:tcPr>
          <w:p w14:paraId="1AF0D7B8" w14:textId="24B171F5" w:rsidR="009446D9" w:rsidRPr="00B060A3" w:rsidRDefault="009446D9" w:rsidP="009446D9">
            <w:pPr>
              <w:rPr>
                <w:b/>
                <w:lang w:val="ro-RO"/>
              </w:rPr>
            </w:pPr>
            <w:r>
              <w:rPr>
                <w:b/>
                <w:lang w:val="ro-RO"/>
              </w:rPr>
              <w:t xml:space="preserve">TC 1 </w:t>
            </w:r>
            <w:r w:rsidR="00C0027F">
              <w:rPr>
                <w:b/>
                <w:lang w:val="ro-RO"/>
              </w:rPr>
              <w:t>Concordatul preventiv – procedură de prevenire a insolvenței</w:t>
            </w:r>
          </w:p>
        </w:tc>
        <w:tc>
          <w:tcPr>
            <w:tcW w:w="2552" w:type="dxa"/>
          </w:tcPr>
          <w:p w14:paraId="24906990" w14:textId="50015394" w:rsidR="009446D9" w:rsidRPr="00B060A3" w:rsidRDefault="00C04B68" w:rsidP="009446D9">
            <w:pPr>
              <w:rPr>
                <w:lang w:val="ro-RO"/>
              </w:rPr>
            </w:pPr>
            <w:r>
              <w:rPr>
                <w:lang w:val="ro-RO"/>
              </w:rPr>
              <w:t>Referatul care îndeplinește condițiile prescrise se încarcă în periioada indicată în calendar pe platformă. Feed-back-ul este asigurat prin intermediul aceleiași platforme</w:t>
            </w:r>
          </w:p>
        </w:tc>
        <w:tc>
          <w:tcPr>
            <w:tcW w:w="2562" w:type="dxa"/>
          </w:tcPr>
          <w:p w14:paraId="532E8A3C" w14:textId="53388C00" w:rsidR="009446D9" w:rsidRPr="00B060A3" w:rsidRDefault="00C04B68" w:rsidP="009446D9">
            <w:pPr>
              <w:rPr>
                <w:lang w:val="ro-RO"/>
              </w:rPr>
            </w:pPr>
            <w:r>
              <w:rPr>
                <w:lang w:val="ro-RO"/>
              </w:rPr>
              <w:t>TC 1 este notată cu 3 pct. Din nota finală.</w:t>
            </w:r>
          </w:p>
        </w:tc>
      </w:tr>
      <w:tr w:rsidR="009446D9" w:rsidRPr="00C04B68" w14:paraId="5783BA3E" w14:textId="77777777" w:rsidTr="00C1331A">
        <w:tc>
          <w:tcPr>
            <w:tcW w:w="4786" w:type="dxa"/>
          </w:tcPr>
          <w:p w14:paraId="5267A881" w14:textId="059500CD" w:rsidR="009446D9" w:rsidRPr="00B060A3" w:rsidRDefault="00C04B68" w:rsidP="009446D9">
            <w:pPr>
              <w:rPr>
                <w:b/>
                <w:lang w:val="ro-RO"/>
              </w:rPr>
            </w:pPr>
            <w:r>
              <w:rPr>
                <w:b/>
                <w:lang w:val="ro-RO"/>
              </w:rPr>
              <w:t xml:space="preserve">TC 2 </w:t>
            </w:r>
            <w:r w:rsidR="00C0027F">
              <w:rPr>
                <w:b/>
                <w:lang w:val="ro-RO"/>
              </w:rPr>
              <w:t>Atragerea răspunderii persoanelor care au cauzat starea de insolvență</w:t>
            </w:r>
          </w:p>
        </w:tc>
        <w:tc>
          <w:tcPr>
            <w:tcW w:w="2552" w:type="dxa"/>
          </w:tcPr>
          <w:p w14:paraId="6DB84B3B" w14:textId="6FCE7559" w:rsidR="009446D9" w:rsidRPr="00B060A3" w:rsidRDefault="00C04B68" w:rsidP="009446D9">
            <w:pPr>
              <w:rPr>
                <w:lang w:val="ro-RO"/>
              </w:rPr>
            </w:pPr>
            <w:r>
              <w:rPr>
                <w:lang w:val="ro-RO"/>
              </w:rPr>
              <w:t>Referatul care îndeplinește condițiile prescrise se încarcă în periioada indicată în calendar pe platformă. Feed-back-ul este asigurat prin intermediul aceleiași platforme</w:t>
            </w:r>
          </w:p>
        </w:tc>
        <w:tc>
          <w:tcPr>
            <w:tcW w:w="2562" w:type="dxa"/>
          </w:tcPr>
          <w:p w14:paraId="522B05A0" w14:textId="7F44BDBA" w:rsidR="009446D9" w:rsidRPr="00B060A3" w:rsidRDefault="00C04B68" w:rsidP="009446D9">
            <w:pPr>
              <w:rPr>
                <w:lang w:val="ro-RO"/>
              </w:rPr>
            </w:pPr>
            <w:r>
              <w:rPr>
                <w:lang w:val="ro-RO"/>
              </w:rPr>
              <w:t>TC 2 este notată cu 3 pct. Din nota finală</w:t>
            </w:r>
          </w:p>
        </w:tc>
      </w:tr>
      <w:tr w:rsidR="009446D9" w:rsidRPr="00C04B68" w14:paraId="26FF2A18" w14:textId="77777777" w:rsidTr="00C1331A">
        <w:tc>
          <w:tcPr>
            <w:tcW w:w="4786" w:type="dxa"/>
          </w:tcPr>
          <w:p w14:paraId="738CC4AC" w14:textId="77777777" w:rsidR="009446D9" w:rsidRPr="00B060A3" w:rsidRDefault="009446D9" w:rsidP="009446D9">
            <w:pPr>
              <w:rPr>
                <w:b/>
                <w:lang w:val="ro-RO"/>
              </w:rPr>
            </w:pPr>
          </w:p>
        </w:tc>
        <w:tc>
          <w:tcPr>
            <w:tcW w:w="2552" w:type="dxa"/>
          </w:tcPr>
          <w:p w14:paraId="7A61E6C1" w14:textId="77777777" w:rsidR="009446D9" w:rsidRPr="00B060A3" w:rsidRDefault="009446D9" w:rsidP="009446D9">
            <w:pPr>
              <w:rPr>
                <w:lang w:val="ro-RO"/>
              </w:rPr>
            </w:pPr>
          </w:p>
        </w:tc>
        <w:tc>
          <w:tcPr>
            <w:tcW w:w="2562" w:type="dxa"/>
          </w:tcPr>
          <w:p w14:paraId="18DE6616" w14:textId="77777777" w:rsidR="009446D9" w:rsidRPr="00B060A3" w:rsidRDefault="009446D9" w:rsidP="009446D9">
            <w:pPr>
              <w:rPr>
                <w:lang w:val="ro-RO"/>
              </w:rPr>
            </w:pPr>
          </w:p>
        </w:tc>
      </w:tr>
      <w:tr w:rsidR="009446D9" w:rsidRPr="004060B4" w14:paraId="0175EC68" w14:textId="77777777" w:rsidTr="00C1331A">
        <w:tc>
          <w:tcPr>
            <w:tcW w:w="9900" w:type="dxa"/>
            <w:gridSpan w:val="3"/>
          </w:tcPr>
          <w:p w14:paraId="25FE94DD" w14:textId="77777777" w:rsidR="009446D9" w:rsidRPr="00B060A3" w:rsidRDefault="009446D9" w:rsidP="009446D9">
            <w:pPr>
              <w:rPr>
                <w:lang w:val="ro-RO"/>
              </w:rPr>
            </w:pPr>
            <w:r w:rsidRPr="00B060A3">
              <w:rPr>
                <w:lang w:val="ro-RO"/>
              </w:rPr>
              <w:t>Bibliografie</w:t>
            </w:r>
            <w:r>
              <w:rPr>
                <w:lang w:val="ro-RO"/>
              </w:rPr>
              <w:t>:</w:t>
            </w:r>
          </w:p>
          <w:p w14:paraId="32A1BA54" w14:textId="0B2F95F7" w:rsidR="009446D9" w:rsidRPr="003574C1" w:rsidRDefault="009446D9" w:rsidP="009446D9">
            <w:pPr>
              <w:jc w:val="both"/>
              <w:rPr>
                <w:iCs/>
                <w:lang w:val="ro-RO"/>
              </w:rPr>
            </w:pPr>
          </w:p>
        </w:tc>
      </w:tr>
    </w:tbl>
    <w:p w14:paraId="5AEEF2E4" w14:textId="77777777" w:rsidR="00DF5C86" w:rsidRPr="00B060A3" w:rsidRDefault="00DF5C86" w:rsidP="00DF5C86">
      <w:pPr>
        <w:rPr>
          <w:b/>
          <w:lang w:val="ro-RO"/>
        </w:rPr>
      </w:pPr>
      <w:r w:rsidRPr="00B060A3">
        <w:rPr>
          <w:b/>
          <w:lang w:val="ro-RO"/>
        </w:rPr>
        <w:t>9. Coroborarea conţinuturilor disciplinei cu aşteptările reprezentanţilor comunităţilor epistemice, asociaţilor profesionale şi angajatori reprezentativi din domeniul aferent programului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F5C86" w:rsidRPr="004060B4" w14:paraId="53AB55B0" w14:textId="77777777" w:rsidTr="00C1331A">
        <w:tc>
          <w:tcPr>
            <w:tcW w:w="9900" w:type="dxa"/>
          </w:tcPr>
          <w:p w14:paraId="1BE8F929" w14:textId="7FCB0390" w:rsidR="00DF5C86" w:rsidRPr="00C04B68" w:rsidRDefault="00C04B68" w:rsidP="00C1331A">
            <w:pPr>
              <w:jc w:val="both"/>
              <w:rPr>
                <w:b/>
                <w:lang w:val="ro-RO"/>
              </w:rPr>
            </w:pPr>
            <w:r w:rsidRPr="00C04B68">
              <w:rPr>
                <w:rFonts w:ascii="Georgia" w:hAnsi="Georgia"/>
                <w:lang w:val="ro-RO"/>
              </w:rPr>
              <w:t>Temele de curs și seminar propuse au în vedere necesitatea completării și aprofundării cunoștințelor obținute la materiile studiate anterior, în special la Drept comercial I și Drept comercial II, în vederea unei tratări extinse a materiei în zona tehnicilor juridice de finanțare a întreprinderii, având caracter de actualitate în cercetarea fundamentală și aplicativă din domeniul dreptului comercial (raporturile juridice civile cu profesioniști), iar abordarea lor în cadrul acestei discipline se bazează pe reglementările în vigoare și pe evoluțiile doctrinare și jurisprudențiale contemporane.</w:t>
            </w:r>
          </w:p>
        </w:tc>
      </w:tr>
    </w:tbl>
    <w:p w14:paraId="745BBCF6" w14:textId="77777777" w:rsidR="00220B6A" w:rsidRDefault="00220B6A" w:rsidP="00DF5C86">
      <w:pPr>
        <w:rPr>
          <w:b/>
          <w:lang w:val="ro-RO"/>
        </w:rPr>
      </w:pPr>
    </w:p>
    <w:p w14:paraId="7E6D1436" w14:textId="77777777" w:rsidR="00DF5C86" w:rsidRPr="00B060A3" w:rsidRDefault="00DF5C86" w:rsidP="00DF5C86">
      <w:pPr>
        <w:rPr>
          <w:b/>
          <w:lang w:val="ro-RO"/>
        </w:rPr>
      </w:pPr>
      <w:r w:rsidRPr="00B060A3">
        <w:rPr>
          <w:b/>
          <w:lang w:val="ro-RO"/>
        </w:rPr>
        <w:t>10. Evaluare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4075"/>
        <w:gridCol w:w="2549"/>
        <w:gridCol w:w="1197"/>
      </w:tblGrid>
      <w:tr w:rsidR="00DF5C86" w:rsidRPr="00B060A3" w14:paraId="5CE42BC6" w14:textId="77777777" w:rsidTr="00590E1B">
        <w:tc>
          <w:tcPr>
            <w:tcW w:w="2106" w:type="dxa"/>
            <w:vAlign w:val="center"/>
          </w:tcPr>
          <w:p w14:paraId="39AD5CB8" w14:textId="77777777" w:rsidR="00DF5C86" w:rsidRPr="00B060A3" w:rsidRDefault="00DF5C86" w:rsidP="00C1331A">
            <w:pPr>
              <w:jc w:val="center"/>
              <w:rPr>
                <w:lang w:val="ro-RO"/>
              </w:rPr>
            </w:pPr>
            <w:r w:rsidRPr="00B060A3">
              <w:rPr>
                <w:lang w:val="ro-RO"/>
              </w:rPr>
              <w:t>Tip activitate</w:t>
            </w:r>
          </w:p>
        </w:tc>
        <w:tc>
          <w:tcPr>
            <w:tcW w:w="4075" w:type="dxa"/>
            <w:tcBorders>
              <w:bottom w:val="single" w:sz="4" w:space="0" w:color="auto"/>
            </w:tcBorders>
            <w:vAlign w:val="center"/>
          </w:tcPr>
          <w:p w14:paraId="4ACAD77C" w14:textId="77777777" w:rsidR="00DF5C86" w:rsidRPr="00B060A3" w:rsidRDefault="00DF5C86" w:rsidP="00C1331A">
            <w:pPr>
              <w:jc w:val="center"/>
              <w:rPr>
                <w:lang w:val="ro-RO"/>
              </w:rPr>
            </w:pPr>
            <w:r w:rsidRPr="00B060A3">
              <w:rPr>
                <w:lang w:val="ro-RO"/>
              </w:rPr>
              <w:t>10.1</w:t>
            </w:r>
            <w:r>
              <w:rPr>
                <w:lang w:val="ro-RO"/>
              </w:rPr>
              <w:t>.</w:t>
            </w:r>
            <w:r w:rsidRPr="00B060A3">
              <w:rPr>
                <w:lang w:val="ro-RO"/>
              </w:rPr>
              <w:t xml:space="preserve"> Criterii de evaluare</w:t>
            </w:r>
          </w:p>
        </w:tc>
        <w:tc>
          <w:tcPr>
            <w:tcW w:w="2566" w:type="dxa"/>
            <w:vAlign w:val="center"/>
          </w:tcPr>
          <w:p w14:paraId="62B98550" w14:textId="77777777" w:rsidR="00DF5C86" w:rsidRPr="00B060A3" w:rsidRDefault="00DF5C86" w:rsidP="00C1331A">
            <w:pPr>
              <w:jc w:val="center"/>
              <w:rPr>
                <w:lang w:val="ro-RO"/>
              </w:rPr>
            </w:pPr>
            <w:r w:rsidRPr="00B060A3">
              <w:rPr>
                <w:lang w:val="ro-RO"/>
              </w:rPr>
              <w:t>10.2</w:t>
            </w:r>
            <w:r>
              <w:rPr>
                <w:lang w:val="ro-RO"/>
              </w:rPr>
              <w:t>.</w:t>
            </w:r>
            <w:r w:rsidRPr="00B060A3">
              <w:rPr>
                <w:lang w:val="ro-RO"/>
              </w:rPr>
              <w:t xml:space="preserve"> Metode de evaluare</w:t>
            </w:r>
          </w:p>
        </w:tc>
        <w:tc>
          <w:tcPr>
            <w:tcW w:w="1153" w:type="dxa"/>
            <w:vAlign w:val="center"/>
          </w:tcPr>
          <w:p w14:paraId="023C4308" w14:textId="77777777" w:rsidR="00DF5C86" w:rsidRPr="00B060A3" w:rsidRDefault="00DF5C86" w:rsidP="00C1331A">
            <w:pPr>
              <w:jc w:val="center"/>
              <w:rPr>
                <w:lang w:val="ro-RO"/>
              </w:rPr>
            </w:pPr>
            <w:r w:rsidRPr="00B060A3">
              <w:rPr>
                <w:lang w:val="ro-RO"/>
              </w:rPr>
              <w:t>10.3</w:t>
            </w:r>
            <w:r>
              <w:rPr>
                <w:lang w:val="ro-RO"/>
              </w:rPr>
              <w:t>.</w:t>
            </w:r>
            <w:r w:rsidRPr="00B060A3">
              <w:rPr>
                <w:lang w:val="ro-RO"/>
              </w:rPr>
              <w:t xml:space="preserve"> Pondere din nota finală</w:t>
            </w:r>
          </w:p>
        </w:tc>
      </w:tr>
      <w:tr w:rsidR="00590E1B" w:rsidRPr="006835D9" w14:paraId="12FD83F8" w14:textId="77777777" w:rsidTr="00590E1B">
        <w:tc>
          <w:tcPr>
            <w:tcW w:w="2106" w:type="dxa"/>
          </w:tcPr>
          <w:p w14:paraId="387028AB" w14:textId="77777777" w:rsidR="00590E1B" w:rsidRPr="00B060A3" w:rsidRDefault="00590E1B" w:rsidP="00590E1B">
            <w:pPr>
              <w:rPr>
                <w:b/>
                <w:lang w:val="ro-RO"/>
              </w:rPr>
            </w:pPr>
            <w:r>
              <w:rPr>
                <w:b/>
                <w:lang w:val="ro-RO"/>
              </w:rPr>
              <w:t>10.4.</w:t>
            </w:r>
            <w:r w:rsidRPr="00B060A3">
              <w:rPr>
                <w:b/>
                <w:lang w:val="ro-RO"/>
              </w:rPr>
              <w:t xml:space="preserve"> </w:t>
            </w:r>
            <w:r>
              <w:rPr>
                <w:b/>
                <w:lang w:val="ro-RO"/>
              </w:rPr>
              <w:t>AI, SI</w:t>
            </w:r>
          </w:p>
        </w:tc>
        <w:tc>
          <w:tcPr>
            <w:tcW w:w="4075" w:type="dxa"/>
          </w:tcPr>
          <w:p w14:paraId="30304F0B" w14:textId="77777777" w:rsidR="00590E1B" w:rsidRPr="00FD0302" w:rsidRDefault="00590E1B" w:rsidP="00590E1B">
            <w:pPr>
              <w:ind w:left="284"/>
              <w:jc w:val="both"/>
              <w:rPr>
                <w:rFonts w:ascii="Georgia" w:hAnsi="Georgia"/>
                <w:lang w:val="ro-RO"/>
              </w:rPr>
            </w:pPr>
            <w:r w:rsidRPr="00FD0302">
              <w:rPr>
                <w:rFonts w:ascii="Georgia" w:hAnsi="Georgia"/>
                <w:lang w:val="ro-RO"/>
              </w:rPr>
              <w:t>Nivelul de cunoaștere și înțelegere a materiei studiate individual, în raport de capacitatea de prezentare și utilizare adecvată a instituțiilor dreptului comercial și a conceptelor de specialitate;</w:t>
            </w:r>
          </w:p>
          <w:p w14:paraId="4855213A" w14:textId="77777777" w:rsidR="00590E1B" w:rsidRPr="00FD0302" w:rsidRDefault="00590E1B" w:rsidP="00590E1B">
            <w:pPr>
              <w:ind w:left="284"/>
              <w:jc w:val="both"/>
              <w:rPr>
                <w:rFonts w:ascii="Georgia" w:hAnsi="Georgia"/>
                <w:lang w:val="ro-RO"/>
              </w:rPr>
            </w:pPr>
            <w:r w:rsidRPr="00FD0302">
              <w:rPr>
                <w:rFonts w:ascii="Georgia" w:hAnsi="Georgia"/>
                <w:lang w:val="ro-RO"/>
              </w:rPr>
              <w:t>Criteriile de evaluare sunt următoarele.</w:t>
            </w:r>
          </w:p>
          <w:p w14:paraId="04E88BCF" w14:textId="77777777" w:rsidR="00590E1B" w:rsidRPr="00FD0302" w:rsidRDefault="00590E1B" w:rsidP="00590E1B">
            <w:pPr>
              <w:numPr>
                <w:ilvl w:val="0"/>
                <w:numId w:val="12"/>
              </w:numPr>
              <w:jc w:val="both"/>
              <w:rPr>
                <w:rFonts w:ascii="Georgia" w:hAnsi="Georgia"/>
                <w:lang w:val="ro-RO"/>
              </w:rPr>
            </w:pPr>
            <w:r w:rsidRPr="00FD0302">
              <w:rPr>
                <w:rFonts w:ascii="Georgia" w:hAnsi="Georgia"/>
                <w:lang w:val="ro-RO"/>
              </w:rPr>
              <w:t>Recunoașterea/utilizarea/explicarea unui limbaj juridic de specialitate adecvat.</w:t>
            </w:r>
          </w:p>
          <w:p w14:paraId="68484097" w14:textId="77777777" w:rsidR="00590E1B" w:rsidRPr="00FD0302" w:rsidRDefault="00590E1B" w:rsidP="00590E1B">
            <w:pPr>
              <w:numPr>
                <w:ilvl w:val="0"/>
                <w:numId w:val="12"/>
              </w:numPr>
              <w:jc w:val="both"/>
              <w:rPr>
                <w:rFonts w:ascii="Georgia" w:hAnsi="Georgia"/>
                <w:lang w:val="ro-RO"/>
              </w:rPr>
            </w:pPr>
            <w:r w:rsidRPr="00FD0302">
              <w:rPr>
                <w:rFonts w:ascii="Georgia" w:hAnsi="Georgia"/>
                <w:lang w:val="ro-RO"/>
              </w:rPr>
              <w:t>Recunoaștere/explicarea/corelare unor noțiuni și instituții juridice la nivel „static” (descrierea acestora, identificarea genului proxim, a diferenței specifice, morfologia, etimologia, dinamica legislativă, structură, taxonomie etc)</w:t>
            </w:r>
          </w:p>
          <w:p w14:paraId="41D4FB84" w14:textId="36E2CA21" w:rsidR="00590E1B" w:rsidRPr="00893D4F" w:rsidRDefault="00590E1B" w:rsidP="00590E1B">
            <w:pPr>
              <w:rPr>
                <w:lang w:val="ro-RO"/>
              </w:rPr>
            </w:pPr>
            <w:r w:rsidRPr="00FD0302">
              <w:rPr>
                <w:rFonts w:ascii="Georgia" w:hAnsi="Georgia"/>
                <w:lang w:val="ro-RO"/>
              </w:rPr>
              <w:t>Angrenarea acestor concepte „statice” în anumite ipoteze „dinamice” (interacțiunea acestora, soluționarea anumitor ipoteze practice, concrete, făcând conexiunile teoretice necesare)</w:t>
            </w:r>
          </w:p>
        </w:tc>
        <w:tc>
          <w:tcPr>
            <w:tcW w:w="2566" w:type="dxa"/>
          </w:tcPr>
          <w:p w14:paraId="5325C21B" w14:textId="77777777" w:rsidR="00590E1B" w:rsidRPr="00FD0302" w:rsidRDefault="00590E1B" w:rsidP="00590E1B">
            <w:pPr>
              <w:ind w:left="284"/>
              <w:jc w:val="both"/>
              <w:rPr>
                <w:rFonts w:ascii="Georgia" w:hAnsi="Georgia"/>
                <w:lang w:val="ro-RO"/>
              </w:rPr>
            </w:pPr>
            <w:r w:rsidRPr="00FD0302">
              <w:rPr>
                <w:rFonts w:ascii="Georgia" w:hAnsi="Georgia"/>
                <w:lang w:val="ro-RO"/>
              </w:rPr>
              <w:t>Partea scrisă, în care studenții pot obține nota maximă 10(zece). Nota minima pentru promovare este 5 (cinci). Pentru promovarea examenului cu notă maximă se acordă 3 pct. Din nota finală. Pentru o notă mai mică, se ponderează punctajul corespunzător.</w:t>
            </w:r>
          </w:p>
          <w:p w14:paraId="22C1D72A" w14:textId="357135B2" w:rsidR="00590E1B" w:rsidRPr="00893D4F" w:rsidRDefault="00590E1B" w:rsidP="00590E1B">
            <w:pPr>
              <w:rPr>
                <w:lang w:val="ro-RO"/>
              </w:rPr>
            </w:pPr>
          </w:p>
        </w:tc>
        <w:tc>
          <w:tcPr>
            <w:tcW w:w="1153" w:type="dxa"/>
          </w:tcPr>
          <w:p w14:paraId="0168226E" w14:textId="5D39A608" w:rsidR="00590E1B" w:rsidRPr="00893D4F" w:rsidRDefault="00590E1B" w:rsidP="00590E1B">
            <w:pPr>
              <w:rPr>
                <w:lang w:val="ro-RO"/>
              </w:rPr>
            </w:pPr>
            <w:r w:rsidRPr="00FD0302">
              <w:rPr>
                <w:rFonts w:ascii="Georgia" w:hAnsi="Georgia"/>
                <w:lang w:val="ro-RO"/>
              </w:rPr>
              <w:t>1/3</w:t>
            </w:r>
          </w:p>
        </w:tc>
      </w:tr>
      <w:tr w:rsidR="00590E1B" w:rsidRPr="00590E1B" w14:paraId="123CE496" w14:textId="77777777" w:rsidTr="00590E1B">
        <w:tc>
          <w:tcPr>
            <w:tcW w:w="2106" w:type="dxa"/>
          </w:tcPr>
          <w:p w14:paraId="22BC88CE" w14:textId="77777777" w:rsidR="00590E1B" w:rsidRPr="00B060A3" w:rsidRDefault="00590E1B" w:rsidP="00590E1B">
            <w:pPr>
              <w:rPr>
                <w:b/>
                <w:lang w:val="ro-RO"/>
              </w:rPr>
            </w:pPr>
            <w:r>
              <w:rPr>
                <w:b/>
                <w:lang w:val="ro-RO"/>
              </w:rPr>
              <w:t>10.5</w:t>
            </w:r>
            <w:r w:rsidRPr="00B060A3">
              <w:rPr>
                <w:b/>
                <w:lang w:val="ro-RO"/>
              </w:rPr>
              <w:t xml:space="preserve">. </w:t>
            </w:r>
            <w:r>
              <w:rPr>
                <w:b/>
                <w:lang w:val="ro-RO"/>
              </w:rPr>
              <w:t xml:space="preserve">TC / </w:t>
            </w:r>
            <w:r w:rsidRPr="00B060A3">
              <w:rPr>
                <w:b/>
                <w:lang w:val="ro-RO"/>
              </w:rPr>
              <w:t>AA</w:t>
            </w:r>
          </w:p>
        </w:tc>
        <w:tc>
          <w:tcPr>
            <w:tcW w:w="4075" w:type="dxa"/>
          </w:tcPr>
          <w:p w14:paraId="2D71FFB4" w14:textId="77777777" w:rsidR="00590E1B" w:rsidRPr="00FD0302" w:rsidRDefault="00590E1B" w:rsidP="00590E1B">
            <w:pPr>
              <w:rPr>
                <w:rFonts w:ascii="Georgia" w:hAnsi="Georgia"/>
                <w:lang w:val="ro-RO"/>
              </w:rPr>
            </w:pPr>
            <w:r w:rsidRPr="00FD0302">
              <w:rPr>
                <w:rFonts w:ascii="Georgia" w:hAnsi="Georgia"/>
                <w:lang w:val="ro-RO"/>
              </w:rPr>
              <w:t>Criterii de evaluare a Temelor de Control:</w:t>
            </w:r>
          </w:p>
          <w:p w14:paraId="096B62C0" w14:textId="77777777" w:rsidR="00590E1B" w:rsidRPr="00FD0302" w:rsidRDefault="00590E1B" w:rsidP="00590E1B">
            <w:pPr>
              <w:pStyle w:val="ListParagraph"/>
              <w:numPr>
                <w:ilvl w:val="0"/>
                <w:numId w:val="12"/>
              </w:numPr>
              <w:spacing w:after="200" w:line="276" w:lineRule="auto"/>
              <w:contextualSpacing w:val="0"/>
              <w:rPr>
                <w:rFonts w:ascii="Georgia" w:hAnsi="Georgia"/>
              </w:rPr>
            </w:pPr>
            <w:r w:rsidRPr="00FD0302">
              <w:rPr>
                <w:rFonts w:ascii="Georgia" w:hAnsi="Georgia"/>
              </w:rPr>
              <w:t>Documentarea prealabilă adecvată;</w:t>
            </w:r>
          </w:p>
          <w:p w14:paraId="77B828BA" w14:textId="77777777" w:rsidR="00590E1B" w:rsidRPr="00FD0302" w:rsidRDefault="00590E1B" w:rsidP="00590E1B">
            <w:pPr>
              <w:pStyle w:val="ListParagraph"/>
              <w:numPr>
                <w:ilvl w:val="0"/>
                <w:numId w:val="12"/>
              </w:numPr>
              <w:spacing w:after="200" w:line="276" w:lineRule="auto"/>
              <w:contextualSpacing w:val="0"/>
              <w:rPr>
                <w:rFonts w:ascii="Georgia" w:hAnsi="Georgia"/>
              </w:rPr>
            </w:pPr>
            <w:r w:rsidRPr="00FD0302">
              <w:rPr>
                <w:rFonts w:ascii="Georgia" w:hAnsi="Georgia"/>
              </w:rPr>
              <w:t>Elaborarea unui plan al lucrării (cuprins)</w:t>
            </w:r>
          </w:p>
          <w:p w14:paraId="6EFF64A0" w14:textId="77777777" w:rsidR="00590E1B" w:rsidRPr="00FD0302" w:rsidRDefault="00590E1B" w:rsidP="00590E1B">
            <w:pPr>
              <w:pStyle w:val="ListParagraph"/>
              <w:numPr>
                <w:ilvl w:val="0"/>
                <w:numId w:val="12"/>
              </w:numPr>
              <w:spacing w:after="200" w:line="276" w:lineRule="auto"/>
              <w:contextualSpacing w:val="0"/>
              <w:rPr>
                <w:rFonts w:ascii="Georgia" w:hAnsi="Georgia"/>
              </w:rPr>
            </w:pPr>
            <w:r w:rsidRPr="00FD0302">
              <w:rPr>
                <w:rFonts w:ascii="Georgia" w:hAnsi="Georgia"/>
              </w:rPr>
              <w:t>Tratamentul juridic al problemei indicate</w:t>
            </w:r>
          </w:p>
          <w:p w14:paraId="56C42E1B" w14:textId="77777777" w:rsidR="00590E1B" w:rsidRPr="00FD0302" w:rsidRDefault="00590E1B" w:rsidP="00590E1B">
            <w:pPr>
              <w:pStyle w:val="ListParagraph"/>
              <w:numPr>
                <w:ilvl w:val="0"/>
                <w:numId w:val="12"/>
              </w:numPr>
              <w:spacing w:after="200" w:line="276" w:lineRule="auto"/>
              <w:contextualSpacing w:val="0"/>
              <w:rPr>
                <w:rFonts w:ascii="Georgia" w:hAnsi="Georgia"/>
              </w:rPr>
            </w:pPr>
            <w:r w:rsidRPr="00FD0302">
              <w:rPr>
                <w:rFonts w:ascii="Georgia" w:hAnsi="Georgia"/>
              </w:rPr>
              <w:t>Degajarea unor concluzii</w:t>
            </w:r>
          </w:p>
          <w:p w14:paraId="35D8FF4C" w14:textId="3F29B5DF" w:rsidR="00590E1B" w:rsidRPr="00893D4F" w:rsidRDefault="00590E1B" w:rsidP="00590E1B">
            <w:pPr>
              <w:rPr>
                <w:lang w:val="ro-RO"/>
              </w:rPr>
            </w:pPr>
            <w:r w:rsidRPr="00FD0302">
              <w:rPr>
                <w:rFonts w:ascii="Georgia" w:hAnsi="Georgia"/>
              </w:rPr>
              <w:t xml:space="preserve">Tehnoredactarea </w:t>
            </w:r>
          </w:p>
        </w:tc>
        <w:tc>
          <w:tcPr>
            <w:tcW w:w="2566" w:type="dxa"/>
          </w:tcPr>
          <w:p w14:paraId="60C6C822" w14:textId="3E3313B7" w:rsidR="00590E1B" w:rsidRPr="00B060A3" w:rsidRDefault="00590E1B" w:rsidP="00590E1B">
            <w:pPr>
              <w:rPr>
                <w:lang w:val="ro-RO"/>
              </w:rPr>
            </w:pPr>
            <w:r w:rsidRPr="00FD0302">
              <w:rPr>
                <w:rFonts w:ascii="Georgia" w:hAnsi="Georgia"/>
                <w:lang w:val="ro-RO"/>
              </w:rPr>
              <w:t>Referat scris pe tema indicată în calendarul disciplinei, avaluat conform criteriilor indicate. Notele sunt de la 1 la 10.  Pentru nota maximă se acordă 3 pct. Din nota finală. Penru o notă mai mică se ponderează punctajul corespunzător.</w:t>
            </w:r>
          </w:p>
        </w:tc>
        <w:tc>
          <w:tcPr>
            <w:tcW w:w="1153" w:type="dxa"/>
          </w:tcPr>
          <w:p w14:paraId="44F8A774" w14:textId="488815F1" w:rsidR="00590E1B" w:rsidRPr="00B060A3" w:rsidRDefault="00590E1B" w:rsidP="00590E1B">
            <w:pPr>
              <w:rPr>
                <w:lang w:val="ro-RO"/>
              </w:rPr>
            </w:pPr>
            <w:r w:rsidRPr="00FD0302">
              <w:rPr>
                <w:rFonts w:ascii="Georgia" w:hAnsi="Georgia"/>
                <w:lang w:val="ro-RO"/>
              </w:rPr>
              <w:t>Câte 1/3 pentru fiecare Temă de Control (TC1+TC2)</w:t>
            </w:r>
          </w:p>
        </w:tc>
      </w:tr>
      <w:tr w:rsidR="00590E1B" w:rsidRPr="00590E1B" w14:paraId="0128D005" w14:textId="77777777" w:rsidTr="00C1331A">
        <w:tc>
          <w:tcPr>
            <w:tcW w:w="9900" w:type="dxa"/>
            <w:gridSpan w:val="4"/>
          </w:tcPr>
          <w:p w14:paraId="451A00FE" w14:textId="77777777" w:rsidR="00590E1B" w:rsidRPr="00893D4F" w:rsidRDefault="00590E1B" w:rsidP="00590E1B">
            <w:pPr>
              <w:rPr>
                <w:b/>
                <w:bCs/>
                <w:lang w:val="ro-RO"/>
              </w:rPr>
            </w:pPr>
            <w:r w:rsidRPr="00893D4F">
              <w:rPr>
                <w:b/>
                <w:bCs/>
                <w:lang w:val="ro-RO"/>
              </w:rPr>
              <w:t>10.6. Standard minim de performanţă</w:t>
            </w:r>
          </w:p>
          <w:p w14:paraId="7ADC7E1B" w14:textId="172E96B5" w:rsidR="00590E1B" w:rsidRPr="00FD0302" w:rsidRDefault="00590E1B" w:rsidP="00590E1B">
            <w:pPr>
              <w:rPr>
                <w:rFonts w:ascii="Georgia" w:hAnsi="Georgia"/>
                <w:lang w:val="ro-RO"/>
              </w:rPr>
            </w:pPr>
            <w:r>
              <w:rPr>
                <w:rFonts w:ascii="Georgia" w:hAnsi="Georgia"/>
                <w:b/>
                <w:lang w:val="ro-RO"/>
              </w:rPr>
              <w:t>Colocviu</w:t>
            </w:r>
            <w:r w:rsidRPr="00FD0302">
              <w:rPr>
                <w:rFonts w:ascii="Georgia" w:hAnsi="Georgia"/>
                <w:b/>
                <w:lang w:val="ro-RO"/>
              </w:rPr>
              <w:t xml:space="preserve"> scris:</w:t>
            </w:r>
            <w:r w:rsidRPr="00FD0302">
              <w:rPr>
                <w:rFonts w:ascii="Georgia" w:hAnsi="Georgia"/>
                <w:lang w:val="ro-RO"/>
              </w:rPr>
              <w:t xml:space="preserve"> Pentru promovarea examenului scris este necesară obținerea unui punctaj minim de 4.00 (patru) la care se adaugă punctul din oficiu 1 (unu), punctajul minim de promovare fiind 5.00 (cinci). Pentru lucrarea scrisă studenții pot primi până la 3 puncte din nota finală. Punctajul se poate acorda și în fracțiuni de puncte, ponderat.</w:t>
            </w:r>
          </w:p>
          <w:p w14:paraId="77DED767" w14:textId="77777777" w:rsidR="00590E1B" w:rsidRPr="00FD0302" w:rsidRDefault="00590E1B" w:rsidP="00590E1B">
            <w:pPr>
              <w:rPr>
                <w:lang w:val="ro-RO"/>
              </w:rPr>
            </w:pPr>
            <w:r w:rsidRPr="00FD0302">
              <w:rPr>
                <w:b/>
                <w:bCs/>
                <w:lang w:val="ro-RO"/>
              </w:rPr>
              <w:t xml:space="preserve">Teme de control: </w:t>
            </w:r>
            <w:r w:rsidRPr="00FD0302">
              <w:rPr>
                <w:lang w:val="ro-RO"/>
              </w:rPr>
              <w:t xml:space="preserve">Penru temele de control (TC 1 +TC2) studenții vor elabora un referat scris conform condițiilor indicate. </w:t>
            </w:r>
          </w:p>
          <w:p w14:paraId="11A4FA73" w14:textId="3AFA8587" w:rsidR="00590E1B" w:rsidRPr="00893D4F" w:rsidRDefault="00590E1B" w:rsidP="00590E1B">
            <w:pPr>
              <w:rPr>
                <w:b/>
                <w:bCs/>
                <w:lang w:val="ro-RO"/>
              </w:rPr>
            </w:pPr>
            <w:r w:rsidRPr="00FD0302">
              <w:rPr>
                <w:b/>
                <w:bCs/>
                <w:lang w:val="ro-RO"/>
              </w:rPr>
              <w:t>Nota finală: nota finală o reprezintă cumulul celor 3 componente ale examenului: Examenul scris și cele două Teme de control (TC1 + TC2) la care se adaugă 1 pct. din oficiu. Formula de calcul este: Punctaj examen scris (0-3) + TC1 (0-3) + TC2 (0-3) + 1= nota finală!</w:t>
            </w:r>
          </w:p>
        </w:tc>
      </w:tr>
    </w:tbl>
    <w:p w14:paraId="15C0F2D0" w14:textId="77777777" w:rsidR="00DF5C86" w:rsidRPr="00B060A3" w:rsidRDefault="00DF5C86" w:rsidP="00DF5C86">
      <w:pPr>
        <w:rPr>
          <w:lang w:val="ro-RO"/>
        </w:rPr>
      </w:pPr>
      <w:r w:rsidRPr="00B060A3">
        <w:rPr>
          <w:lang w:val="ro-RO"/>
        </w:rPr>
        <w:tab/>
      </w:r>
      <w:r w:rsidRPr="00B060A3">
        <w:rPr>
          <w:lang w:val="ro-RO"/>
        </w:rPr>
        <w:tab/>
      </w:r>
    </w:p>
    <w:p w14:paraId="7DB18ADA" w14:textId="77777777" w:rsidR="006835D9" w:rsidRDefault="006835D9" w:rsidP="006835D9">
      <w:pPr>
        <w:ind w:firstLine="28"/>
        <w:rPr>
          <w:rFonts w:ascii="Cambria" w:hAnsi="Cambria"/>
        </w:rPr>
      </w:pPr>
      <w:r>
        <w:rPr>
          <w:rFonts w:ascii="Cambria" w:hAnsi="Cambria"/>
          <w:b/>
        </w:rPr>
        <w:t>11</w:t>
      </w:r>
      <w:r w:rsidRPr="003F481E">
        <w:rPr>
          <w:rFonts w:ascii="Cambria" w:hAnsi="Cambria"/>
          <w:b/>
        </w:rPr>
        <w:t xml:space="preserve">. </w:t>
      </w:r>
      <w:r w:rsidRPr="00DC236E">
        <w:rPr>
          <w:rFonts w:ascii="Cambria" w:hAnsi="Cambria"/>
          <w:b/>
        </w:rPr>
        <w:t>Etichete ODD (Obiective de Dezvoltare Durabilă / Sustainable Development Goals)</w:t>
      </w:r>
      <w:r>
        <w:rPr>
          <w:rStyle w:val="FootnoteReference"/>
          <w:rFonts w:ascii="Cambria" w:hAnsi="Cambria"/>
          <w:b/>
        </w:rPr>
        <w:footnoteReference w:id="1"/>
      </w:r>
    </w:p>
    <w:tbl>
      <w:tblPr>
        <w:tblStyle w:val="TableGrid"/>
        <w:tblpPr w:leftFromText="180" w:rightFromText="180" w:vertAnchor="text" w:tblpY="1"/>
        <w:tblOverlap w:val="never"/>
        <w:tblW w:w="9923" w:type="dxa"/>
        <w:tblLayout w:type="fixed"/>
        <w:tblLook w:val="04A0" w:firstRow="1" w:lastRow="0" w:firstColumn="1" w:lastColumn="0" w:noHBand="0" w:noVBand="1"/>
      </w:tblPr>
      <w:tblGrid>
        <w:gridCol w:w="1134"/>
        <w:gridCol w:w="1134"/>
        <w:gridCol w:w="1134"/>
        <w:gridCol w:w="1134"/>
        <w:gridCol w:w="1134"/>
        <w:gridCol w:w="1134"/>
        <w:gridCol w:w="3119"/>
      </w:tblGrid>
      <w:tr w:rsidR="006835D9" w:rsidRPr="006835D9" w14:paraId="39145A8E" w14:textId="77777777" w:rsidTr="00893D4F">
        <w:trPr>
          <w:trHeight w:val="1037"/>
        </w:trPr>
        <w:tc>
          <w:tcPr>
            <w:tcW w:w="1134" w:type="dxa"/>
            <w:vAlign w:val="center"/>
          </w:tcPr>
          <w:p w14:paraId="1F28D93D" w14:textId="77777777" w:rsidR="006835D9" w:rsidRPr="00E027F6" w:rsidRDefault="006835D9" w:rsidP="00893D4F">
            <w:pPr>
              <w:rPr>
                <w:rFonts w:ascii="Cambria" w:hAnsi="Cambria"/>
              </w:rPr>
            </w:pPr>
            <w:r w:rsidRPr="00E027F6">
              <w:rPr>
                <w:rFonts w:ascii="Cambria" w:hAnsi="Cambria"/>
                <w:noProof/>
              </w:rPr>
              <w:drawing>
                <wp:anchor distT="0" distB="0" distL="114300" distR="114300" simplePos="0" relativeHeight="251659264" behindDoc="0" locked="0" layoutInCell="1" allowOverlap="1" wp14:anchorId="7D93823D" wp14:editId="1EF868C8">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8789" w:type="dxa"/>
            <w:gridSpan w:val="6"/>
            <w:vAlign w:val="center"/>
          </w:tcPr>
          <w:p w14:paraId="7D22BF5D" w14:textId="77777777" w:rsidR="006835D9" w:rsidRPr="00893D4F" w:rsidRDefault="006835D9" w:rsidP="00893D4F">
            <w:pPr>
              <w:rPr>
                <w:rFonts w:ascii="Cambria" w:hAnsi="Cambria"/>
                <w:lang w:val="ro-RO"/>
              </w:rPr>
            </w:pPr>
            <w:r w:rsidRPr="00893D4F">
              <w:rPr>
                <w:rFonts w:ascii="Cambria" w:hAnsi="Cambria"/>
                <w:lang w:val="ro-RO"/>
              </w:rPr>
              <w:t>Eticheta generală pentru Dezvoltare durabilă</w:t>
            </w:r>
          </w:p>
        </w:tc>
      </w:tr>
      <w:tr w:rsidR="00893D4F" w:rsidRPr="00E027F6" w14:paraId="2939993A" w14:textId="77777777" w:rsidTr="00893D4F">
        <w:trPr>
          <w:gridAfter w:val="1"/>
          <w:wAfter w:w="3119" w:type="dxa"/>
          <w:trHeight w:val="1124"/>
        </w:trPr>
        <w:tc>
          <w:tcPr>
            <w:tcW w:w="1134" w:type="dxa"/>
            <w:vAlign w:val="center"/>
          </w:tcPr>
          <w:p w14:paraId="5CE2D885" w14:textId="77777777" w:rsidR="00893D4F" w:rsidRPr="00E027F6" w:rsidRDefault="00893D4F" w:rsidP="00893D4F">
            <w:pPr>
              <w:ind w:right="-537"/>
              <w:rPr>
                <w:rFonts w:ascii="Cambria" w:hAnsi="Cambria"/>
              </w:rPr>
            </w:pPr>
            <w:r w:rsidRPr="00E027F6">
              <w:rPr>
                <w:rFonts w:ascii="Cambria" w:hAnsi="Cambria"/>
                <w:noProof/>
              </w:rPr>
              <w:drawing>
                <wp:inline distT="0" distB="0" distL="0" distR="0" wp14:anchorId="3AD88C8F" wp14:editId="209523D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34" w:type="dxa"/>
            <w:vAlign w:val="center"/>
          </w:tcPr>
          <w:p w14:paraId="0599457B" w14:textId="77777777" w:rsidR="00893D4F" w:rsidRPr="00E027F6" w:rsidRDefault="00893D4F" w:rsidP="00893D4F">
            <w:pPr>
              <w:rPr>
                <w:rFonts w:ascii="Cambria" w:hAnsi="Cambria"/>
              </w:rPr>
            </w:pPr>
            <w:r w:rsidRPr="00E027F6">
              <w:rPr>
                <w:rFonts w:ascii="Cambria" w:hAnsi="Cambria"/>
                <w:noProof/>
              </w:rPr>
              <w:drawing>
                <wp:inline distT="0" distB="0" distL="0" distR="0" wp14:anchorId="148DADEE" wp14:editId="1A56325E">
                  <wp:extent cx="587375" cy="611505"/>
                  <wp:effectExtent l="0" t="0" r="3175" b="0"/>
                  <wp:docPr id="19"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34" w:type="dxa"/>
            <w:vAlign w:val="center"/>
          </w:tcPr>
          <w:p w14:paraId="640B2705" w14:textId="77777777" w:rsidR="00893D4F" w:rsidRPr="00E027F6" w:rsidRDefault="00893D4F" w:rsidP="00893D4F">
            <w:pPr>
              <w:rPr>
                <w:rFonts w:ascii="Cambria" w:hAnsi="Cambria"/>
              </w:rPr>
            </w:pPr>
            <w:r w:rsidRPr="00E027F6">
              <w:rPr>
                <w:rFonts w:ascii="Cambria" w:hAnsi="Cambria"/>
                <w:noProof/>
              </w:rPr>
              <w:drawing>
                <wp:inline distT="0" distB="0" distL="0" distR="0" wp14:anchorId="77D70EBF" wp14:editId="105DA3FC">
                  <wp:extent cx="625475" cy="611505"/>
                  <wp:effectExtent l="0" t="0" r="3175" b="0"/>
                  <wp:docPr id="11" name="Imagine 10" descr="O imagine care conține proiectare, captură de ecran, text&#10;&#10;Descriere generată automat">
                    <a:extLst xmlns:a="http://schemas.openxmlformats.org/drawingml/2006/main">
                      <a:ext uri="{FF2B5EF4-FFF2-40B4-BE49-F238E27FC236}">
                        <a16:creationId xmlns:a16="http://schemas.microsoft.com/office/drawing/2014/main" id="{2B579F3E-034E-481E-D5F3-BC50A91E0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ine 10" descr="O imagine care conține proiectare, captură de ecran, text&#10;&#10;Descriere generată automat">
                            <a:extLst>
                              <a:ext uri="{FF2B5EF4-FFF2-40B4-BE49-F238E27FC236}">
                                <a16:creationId xmlns:a16="http://schemas.microsoft.com/office/drawing/2014/main" id="{2B579F3E-034E-481E-D5F3-BC50A91E0F1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5475" cy="611505"/>
                          </a:xfrm>
                          <a:prstGeom prst="rect">
                            <a:avLst/>
                          </a:prstGeom>
                        </pic:spPr>
                      </pic:pic>
                    </a:graphicData>
                  </a:graphic>
                </wp:inline>
              </w:drawing>
            </w:r>
          </w:p>
        </w:tc>
        <w:tc>
          <w:tcPr>
            <w:tcW w:w="1134" w:type="dxa"/>
            <w:vAlign w:val="center"/>
          </w:tcPr>
          <w:p w14:paraId="1AE4D285" w14:textId="77777777" w:rsidR="00893D4F" w:rsidRPr="00E027F6" w:rsidRDefault="00893D4F" w:rsidP="00893D4F">
            <w:pPr>
              <w:rPr>
                <w:rFonts w:ascii="Cambria" w:hAnsi="Cambria"/>
              </w:rPr>
            </w:pPr>
            <w:r w:rsidRPr="00E027F6">
              <w:rPr>
                <w:rFonts w:ascii="Cambria" w:hAnsi="Cambria"/>
                <w:noProof/>
              </w:rPr>
              <w:drawing>
                <wp:inline distT="0" distB="0" distL="0" distR="0" wp14:anchorId="7368B1EB" wp14:editId="127E6721">
                  <wp:extent cx="594995" cy="611505"/>
                  <wp:effectExtent l="0" t="0" r="0" b="0"/>
                  <wp:docPr id="7" name="Imagine 6" descr="O imagine care conține Font, text, captură de ecran, Grafică&#10;&#10;Descriere generată automat">
                    <a:extLst xmlns:a="http://schemas.openxmlformats.org/drawingml/2006/main">
                      <a:ext uri="{FF2B5EF4-FFF2-40B4-BE49-F238E27FC236}">
                        <a16:creationId xmlns:a16="http://schemas.microsoft.com/office/drawing/2014/main" id="{08128A80-B72F-F7A1-D683-B62E9A3C28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6" descr="O imagine care conține Font, text, captură de ecran, Grafică&#10;&#10;Descriere generată automat">
                            <a:extLst>
                              <a:ext uri="{FF2B5EF4-FFF2-40B4-BE49-F238E27FC236}">
                                <a16:creationId xmlns:a16="http://schemas.microsoft.com/office/drawing/2014/main" id="{08128A80-B72F-F7A1-D683-B62E9A3C28DC}"/>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34" w:type="dxa"/>
            <w:vAlign w:val="center"/>
          </w:tcPr>
          <w:p w14:paraId="576CFAC7" w14:textId="77777777" w:rsidR="00893D4F" w:rsidRPr="00E027F6" w:rsidRDefault="00893D4F" w:rsidP="00893D4F">
            <w:pPr>
              <w:rPr>
                <w:rFonts w:ascii="Cambria" w:hAnsi="Cambria"/>
              </w:rPr>
            </w:pPr>
            <w:r w:rsidRPr="00E027F6">
              <w:rPr>
                <w:rFonts w:ascii="Cambria" w:hAnsi="Cambria"/>
                <w:noProof/>
              </w:rPr>
              <w:drawing>
                <wp:inline distT="0" distB="0" distL="0" distR="0" wp14:anchorId="1647200D" wp14:editId="41A55C01">
                  <wp:extent cx="613410" cy="611505"/>
                  <wp:effectExtent l="0" t="0" r="0" b="0"/>
                  <wp:docPr id="33" name="Imagine 32" descr="O imagine care conține pasăre, text, proiectare&#10;&#10;Descriere generată automat">
                    <a:extLst xmlns:a="http://schemas.openxmlformats.org/drawingml/2006/main">
                      <a:ext uri="{FF2B5EF4-FFF2-40B4-BE49-F238E27FC236}">
                        <a16:creationId xmlns:a16="http://schemas.microsoft.com/office/drawing/2014/main" id="{CDDB3B99-E05B-3C8E-3E22-3D8B4498D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34" w:type="dxa"/>
            <w:vAlign w:val="center"/>
          </w:tcPr>
          <w:p w14:paraId="0ADD828E" w14:textId="77777777" w:rsidR="00893D4F" w:rsidRPr="00E027F6" w:rsidRDefault="00893D4F" w:rsidP="00893D4F">
            <w:pPr>
              <w:rPr>
                <w:rFonts w:ascii="Cambria" w:hAnsi="Cambria"/>
              </w:rPr>
            </w:pPr>
            <w:r w:rsidRPr="00E027F6">
              <w:rPr>
                <w:rFonts w:ascii="Cambria" w:hAnsi="Cambria"/>
                <w:noProof/>
              </w:rPr>
              <w:drawing>
                <wp:inline distT="0" distB="0" distL="0" distR="0" wp14:anchorId="7FC75E90" wp14:editId="1E83B01A">
                  <wp:extent cx="596900" cy="611505"/>
                  <wp:effectExtent l="0" t="0" r="0" b="0"/>
                  <wp:docPr id="35" name="Imagine 34" descr="O imagine care conține text, captură de ecran, siglă, Font&#10;&#10;Descriere generată automat">
                    <a:extLst xmlns:a="http://schemas.openxmlformats.org/drawingml/2006/main">
                      <a:ext uri="{FF2B5EF4-FFF2-40B4-BE49-F238E27FC236}">
                        <a16:creationId xmlns:a16="http://schemas.microsoft.com/office/drawing/2014/main" id="{C5A497C4-4BA6-983A-2151-979BC824FB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ine 34" descr="O imagine care conține text, captură de ecran, siglă, Font&#10;&#10;Descriere generată automat">
                            <a:extLst>
                              <a:ext uri="{FF2B5EF4-FFF2-40B4-BE49-F238E27FC236}">
                                <a16:creationId xmlns:a16="http://schemas.microsoft.com/office/drawing/2014/main" id="{C5A497C4-4BA6-983A-2151-979BC824FB81}"/>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r>
    </w:tbl>
    <w:p w14:paraId="262FC25F" w14:textId="0E0E6D1A" w:rsidR="00DF5C86" w:rsidRPr="00B060A3" w:rsidRDefault="00893D4F" w:rsidP="00DF5C86">
      <w:pPr>
        <w:rPr>
          <w:lang w:val="ro-RO"/>
        </w:rPr>
      </w:pPr>
      <w:r>
        <w:rPr>
          <w:lang w:val="ro-RO"/>
        </w:rPr>
        <w:br w:type="textWrapping" w:clear="all"/>
      </w:r>
      <w:r w:rsidR="00DF5C86" w:rsidRPr="00B060A3">
        <w:rPr>
          <w:lang w:val="ro-RO"/>
        </w:rPr>
        <w:tab/>
      </w:r>
      <w:r w:rsidR="00DF5C86" w:rsidRPr="00B060A3">
        <w:rPr>
          <w:lang w:val="ro-RO"/>
        </w:rPr>
        <w:tab/>
      </w:r>
      <w:r w:rsidR="00DF5C86" w:rsidRPr="00B060A3">
        <w:rPr>
          <w:lang w:val="ro-RO"/>
        </w:rPr>
        <w:tab/>
      </w:r>
      <w:r w:rsidR="00DF5C86" w:rsidRPr="00B060A3">
        <w:rPr>
          <w:lang w:val="ro-RO"/>
        </w:rPr>
        <w:tab/>
      </w:r>
    </w:p>
    <w:tbl>
      <w:tblPr>
        <w:tblW w:w="9900" w:type="dxa"/>
        <w:tblInd w:w="108" w:type="dxa"/>
        <w:tblLayout w:type="fixed"/>
        <w:tblLook w:val="01E0" w:firstRow="1" w:lastRow="1" w:firstColumn="1" w:lastColumn="1" w:noHBand="0" w:noVBand="0"/>
      </w:tblPr>
      <w:tblGrid>
        <w:gridCol w:w="2019"/>
        <w:gridCol w:w="4281"/>
        <w:gridCol w:w="3600"/>
      </w:tblGrid>
      <w:tr w:rsidR="00DF5C86" w:rsidRPr="00893D4F" w14:paraId="688BB973" w14:textId="77777777" w:rsidTr="00C9768F">
        <w:trPr>
          <w:trHeight w:val="908"/>
        </w:trPr>
        <w:tc>
          <w:tcPr>
            <w:tcW w:w="2019" w:type="dxa"/>
            <w:vAlign w:val="center"/>
          </w:tcPr>
          <w:p w14:paraId="11408D52" w14:textId="77777777" w:rsidR="00DF5C86" w:rsidRPr="00B060A3" w:rsidRDefault="00DF5C86" w:rsidP="00C1331A">
            <w:pPr>
              <w:rPr>
                <w:lang w:val="ro-RO"/>
              </w:rPr>
            </w:pPr>
          </w:p>
        </w:tc>
        <w:tc>
          <w:tcPr>
            <w:tcW w:w="4281" w:type="dxa"/>
            <w:vAlign w:val="center"/>
          </w:tcPr>
          <w:p w14:paraId="747A339A" w14:textId="77777777" w:rsidR="00DF5C86" w:rsidRPr="00B060A3" w:rsidRDefault="00DF5C86" w:rsidP="00C1331A">
            <w:pPr>
              <w:jc w:val="center"/>
              <w:rPr>
                <w:lang w:val="ro-RO"/>
              </w:rPr>
            </w:pPr>
            <w:r>
              <w:rPr>
                <w:lang w:val="ro-RO"/>
              </w:rPr>
              <w:t>C</w:t>
            </w:r>
            <w:r w:rsidRPr="00B060A3">
              <w:rPr>
                <w:lang w:val="ro-RO"/>
              </w:rPr>
              <w:t>oordonator de disciplină</w:t>
            </w:r>
          </w:p>
          <w:p w14:paraId="0F1A94F8" w14:textId="4C24AECE" w:rsidR="00DF5C86" w:rsidRPr="00B060A3" w:rsidRDefault="00DF5C86" w:rsidP="00C1331A">
            <w:pPr>
              <w:jc w:val="center"/>
              <w:rPr>
                <w:lang w:val="ro-RO"/>
              </w:rPr>
            </w:pPr>
            <w:r>
              <w:rPr>
                <w:lang w:val="ro-RO"/>
              </w:rPr>
              <w:t xml:space="preserve">      </w:t>
            </w:r>
            <w:r w:rsidR="00893D4F">
              <w:rPr>
                <w:lang w:val="ro-RO"/>
              </w:rPr>
              <w:t>Lect. Sergiu Golub</w:t>
            </w:r>
          </w:p>
        </w:tc>
        <w:tc>
          <w:tcPr>
            <w:tcW w:w="3600" w:type="dxa"/>
            <w:vAlign w:val="center"/>
          </w:tcPr>
          <w:p w14:paraId="09D1AD43" w14:textId="77777777" w:rsidR="00DF5C86" w:rsidRDefault="00DF5C86" w:rsidP="00C1331A">
            <w:pPr>
              <w:jc w:val="center"/>
              <w:rPr>
                <w:lang w:val="ro-RO"/>
              </w:rPr>
            </w:pPr>
            <w:r>
              <w:rPr>
                <w:lang w:val="ro-RO"/>
              </w:rPr>
              <w:t>T</w:t>
            </w:r>
            <w:r w:rsidRPr="00B060A3">
              <w:rPr>
                <w:lang w:val="ro-RO"/>
              </w:rPr>
              <w:t>utore de disciplină</w:t>
            </w:r>
            <w:r w:rsidR="0006438C">
              <w:rPr>
                <w:lang w:val="ro-RO"/>
              </w:rPr>
              <w:t>/</w:t>
            </w:r>
          </w:p>
          <w:p w14:paraId="4BF09B89" w14:textId="771FDBCD" w:rsidR="00DF5C86" w:rsidRPr="00B060A3" w:rsidRDefault="00C0027F" w:rsidP="00B176BE">
            <w:pPr>
              <w:jc w:val="center"/>
              <w:rPr>
                <w:lang w:val="ro-RO"/>
              </w:rPr>
            </w:pPr>
            <w:r>
              <w:rPr>
                <w:lang w:val="ro-RO"/>
              </w:rPr>
              <w:t>Jud.dr. Mihaela Sărăcuț</w:t>
            </w:r>
          </w:p>
        </w:tc>
      </w:tr>
      <w:tr w:rsidR="00DF5C86" w:rsidRPr="00B060A3" w14:paraId="6C1F8320" w14:textId="77777777" w:rsidTr="00C9768F">
        <w:tc>
          <w:tcPr>
            <w:tcW w:w="2019" w:type="dxa"/>
            <w:vAlign w:val="center"/>
          </w:tcPr>
          <w:p w14:paraId="53565315" w14:textId="77777777" w:rsidR="00DF5C86" w:rsidRDefault="00226D39" w:rsidP="00590E1B">
            <w:pPr>
              <w:jc w:val="center"/>
              <w:rPr>
                <w:i/>
                <w:lang w:val="ro-RO"/>
              </w:rPr>
            </w:pPr>
            <w:r>
              <w:rPr>
                <w:i/>
                <w:lang w:val="ro-RO"/>
              </w:rPr>
              <w:t>Data</w:t>
            </w:r>
          </w:p>
          <w:p w14:paraId="31BE3275" w14:textId="40091CE5" w:rsidR="00226D39" w:rsidRPr="00B060A3" w:rsidRDefault="00893D4F" w:rsidP="00C1331A">
            <w:pPr>
              <w:rPr>
                <w:i/>
                <w:lang w:val="ro-RO"/>
              </w:rPr>
            </w:pPr>
            <w:r>
              <w:rPr>
                <w:i/>
                <w:lang w:val="ro-RO"/>
              </w:rPr>
              <w:t>23.09.2025</w:t>
            </w:r>
          </w:p>
        </w:tc>
        <w:tc>
          <w:tcPr>
            <w:tcW w:w="7881" w:type="dxa"/>
            <w:gridSpan w:val="2"/>
          </w:tcPr>
          <w:p w14:paraId="68A28692" w14:textId="77777777" w:rsidR="00DF5C86" w:rsidRDefault="00DF5C86" w:rsidP="00C1331A">
            <w:pPr>
              <w:jc w:val="center"/>
              <w:rPr>
                <w:lang w:val="ro-RO"/>
              </w:rPr>
            </w:pPr>
          </w:p>
          <w:p w14:paraId="3E118799" w14:textId="77777777" w:rsidR="00DF5C86" w:rsidRPr="00B060A3" w:rsidRDefault="00DF5C86" w:rsidP="00C1331A">
            <w:pPr>
              <w:jc w:val="center"/>
              <w:rPr>
                <w:lang w:val="ro-RO"/>
              </w:rPr>
            </w:pPr>
            <w:r>
              <w:rPr>
                <w:lang w:val="ro-RO"/>
              </w:rPr>
              <w:t>Responsabil de studii ID/IFR,</w:t>
            </w:r>
          </w:p>
          <w:p w14:paraId="418BDC63" w14:textId="4D667A4C" w:rsidR="00DF5C86" w:rsidRDefault="00DF5C86" w:rsidP="00C1331A">
            <w:pPr>
              <w:jc w:val="center"/>
              <w:rPr>
                <w:lang w:val="ro-RO"/>
              </w:rPr>
            </w:pPr>
            <w:r>
              <w:rPr>
                <w:lang w:val="ro-RO"/>
              </w:rPr>
              <w:t xml:space="preserve">  </w:t>
            </w:r>
            <w:r w:rsidR="00893D4F">
              <w:rPr>
                <w:lang w:val="ro-RO"/>
              </w:rPr>
              <w:t>Lect. Adrian Tamba</w:t>
            </w:r>
          </w:p>
          <w:p w14:paraId="2D9299B5" w14:textId="77777777" w:rsidR="00DF5C86" w:rsidRPr="00B060A3" w:rsidRDefault="00DF5C86" w:rsidP="00C1331A">
            <w:pPr>
              <w:jc w:val="center"/>
              <w:rPr>
                <w:lang w:val="ro-RO"/>
              </w:rPr>
            </w:pPr>
          </w:p>
        </w:tc>
      </w:tr>
    </w:tbl>
    <w:p w14:paraId="0FF662AE" w14:textId="77777777" w:rsidR="00DF5C86" w:rsidRPr="00B060A3" w:rsidRDefault="00DF5C86" w:rsidP="00DF5C86">
      <w:pPr>
        <w:rPr>
          <w:lang w:val="ro-RO"/>
        </w:rPr>
      </w:pPr>
    </w:p>
    <w:p w14:paraId="7A347105" w14:textId="77777777" w:rsidR="00DF5C86" w:rsidRPr="00B060A3" w:rsidRDefault="00DF5C86" w:rsidP="00DF5C86">
      <w:pPr>
        <w:rPr>
          <w:lang w:val="ro-RO"/>
        </w:rPr>
      </w:pPr>
    </w:p>
    <w:sectPr w:rsidR="00DF5C86" w:rsidRPr="00B060A3" w:rsidSect="00F56D89">
      <w:headerReference w:type="even"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EEE3" w14:textId="77777777" w:rsidR="00B82385" w:rsidRDefault="00B82385" w:rsidP="00DF5C86">
      <w:r>
        <w:separator/>
      </w:r>
    </w:p>
  </w:endnote>
  <w:endnote w:type="continuationSeparator" w:id="0">
    <w:p w14:paraId="341D71C7" w14:textId="77777777" w:rsidR="00B82385" w:rsidRDefault="00B82385"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55CF"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CB1CC" w14:textId="77777777" w:rsidR="00593BA1" w:rsidRDefault="00593BA1" w:rsidP="00B41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1F80"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694">
      <w:rPr>
        <w:rStyle w:val="PageNumber"/>
        <w:noProof/>
      </w:rPr>
      <w:t>1</w:t>
    </w:r>
    <w:r>
      <w:rPr>
        <w:rStyle w:val="PageNumber"/>
      </w:rPr>
      <w:fldChar w:fldCharType="end"/>
    </w:r>
  </w:p>
  <w:p w14:paraId="7F7F4544" w14:textId="77777777" w:rsidR="00593BA1" w:rsidRPr="00F91DEB" w:rsidRDefault="00593BA1" w:rsidP="000415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C9339" w14:textId="77777777" w:rsidR="00B82385" w:rsidRDefault="00B82385" w:rsidP="00DF5C86">
      <w:r>
        <w:separator/>
      </w:r>
    </w:p>
  </w:footnote>
  <w:footnote w:type="continuationSeparator" w:id="0">
    <w:p w14:paraId="0AF574FB" w14:textId="77777777" w:rsidR="00B82385" w:rsidRDefault="00B82385" w:rsidP="00DF5C86">
      <w:r>
        <w:continuationSeparator/>
      </w:r>
    </w:p>
  </w:footnote>
  <w:footnote w:id="1">
    <w:p w14:paraId="3D079D9A" w14:textId="77777777" w:rsidR="006835D9" w:rsidRPr="00C3571C" w:rsidRDefault="006835D9" w:rsidP="006835D9">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4EAC" w14:textId="77777777" w:rsidR="00593BA1" w:rsidRDefault="00232F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5BF5CC" w14:textId="77777777" w:rsidR="00593BA1" w:rsidRDefault="00593BA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170B7"/>
    <w:multiLevelType w:val="hybridMultilevel"/>
    <w:tmpl w:val="7BD06E38"/>
    <w:lvl w:ilvl="0" w:tplc="7C3EFA50">
      <w:start w:val="4"/>
      <w:numFmt w:val="bullet"/>
      <w:lvlText w:val="-"/>
      <w:lvlJc w:val="left"/>
      <w:pPr>
        <w:ind w:left="644" w:hanging="360"/>
      </w:pPr>
      <w:rPr>
        <w:rFonts w:ascii="Arial Narrow" w:eastAsia="Times New Roman" w:hAnsi="Arial Narrow"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20C43A10"/>
    <w:multiLevelType w:val="hybridMultilevel"/>
    <w:tmpl w:val="5AAC063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44E04A2"/>
    <w:multiLevelType w:val="hybridMultilevel"/>
    <w:tmpl w:val="103C15F2"/>
    <w:lvl w:ilvl="0" w:tplc="71564F7E">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5" w15:restartNumberingAfterBreak="0">
    <w:nsid w:val="3E323F6C"/>
    <w:multiLevelType w:val="hybridMultilevel"/>
    <w:tmpl w:val="0AAE23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2045FF6"/>
    <w:multiLevelType w:val="hybridMultilevel"/>
    <w:tmpl w:val="5F06D464"/>
    <w:lvl w:ilvl="0" w:tplc="04090001">
      <w:start w:val="1"/>
      <w:numFmt w:val="bullet"/>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7"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abstractNum w:abstractNumId="8" w15:restartNumberingAfterBreak="0">
    <w:nsid w:val="5D781714"/>
    <w:multiLevelType w:val="hybridMultilevel"/>
    <w:tmpl w:val="27C88AAE"/>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9" w15:restartNumberingAfterBreak="0">
    <w:nsid w:val="5EDB5329"/>
    <w:multiLevelType w:val="hybridMultilevel"/>
    <w:tmpl w:val="449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A4233F"/>
    <w:multiLevelType w:val="hybridMultilevel"/>
    <w:tmpl w:val="AEAEE8E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820630">
    <w:abstractNumId w:val="7"/>
  </w:num>
  <w:num w:numId="2" w16cid:durableId="905262441">
    <w:abstractNumId w:val="4"/>
  </w:num>
  <w:num w:numId="3" w16cid:durableId="1869223526">
    <w:abstractNumId w:val="1"/>
  </w:num>
  <w:num w:numId="4" w16cid:durableId="1154024913">
    <w:abstractNumId w:val="6"/>
  </w:num>
  <w:num w:numId="5" w16cid:durableId="1241939920">
    <w:abstractNumId w:val="5"/>
  </w:num>
  <w:num w:numId="6" w16cid:durableId="144010563">
    <w:abstractNumId w:val="9"/>
  </w:num>
  <w:num w:numId="7" w16cid:durableId="1984582870">
    <w:abstractNumId w:val="8"/>
  </w:num>
  <w:num w:numId="8" w16cid:durableId="1498227276">
    <w:abstractNumId w:val="11"/>
  </w:num>
  <w:num w:numId="9" w16cid:durableId="925921885">
    <w:abstractNumId w:val="3"/>
  </w:num>
  <w:num w:numId="10" w16cid:durableId="150143563">
    <w:abstractNumId w:val="10"/>
  </w:num>
  <w:num w:numId="11" w16cid:durableId="439908767">
    <w:abstractNumId w:val="2"/>
  </w:num>
  <w:num w:numId="12" w16cid:durableId="20560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AE"/>
    <w:rsid w:val="0006438C"/>
    <w:rsid w:val="000D4278"/>
    <w:rsid w:val="00125210"/>
    <w:rsid w:val="00180390"/>
    <w:rsid w:val="00220B6A"/>
    <w:rsid w:val="00226D39"/>
    <w:rsid w:val="00232F6D"/>
    <w:rsid w:val="00235190"/>
    <w:rsid w:val="002C53BC"/>
    <w:rsid w:val="00313350"/>
    <w:rsid w:val="00322579"/>
    <w:rsid w:val="003E28C0"/>
    <w:rsid w:val="004060B4"/>
    <w:rsid w:val="00535CD4"/>
    <w:rsid w:val="00561B0C"/>
    <w:rsid w:val="00590E1B"/>
    <w:rsid w:val="00593BA1"/>
    <w:rsid w:val="00635E78"/>
    <w:rsid w:val="006835D9"/>
    <w:rsid w:val="007078E3"/>
    <w:rsid w:val="0072360F"/>
    <w:rsid w:val="007442D2"/>
    <w:rsid w:val="00764919"/>
    <w:rsid w:val="00780434"/>
    <w:rsid w:val="007A1739"/>
    <w:rsid w:val="008772BD"/>
    <w:rsid w:val="00890EB2"/>
    <w:rsid w:val="00893D4F"/>
    <w:rsid w:val="0092522A"/>
    <w:rsid w:val="009446D9"/>
    <w:rsid w:val="00976102"/>
    <w:rsid w:val="009800A6"/>
    <w:rsid w:val="00993C01"/>
    <w:rsid w:val="009C2BAE"/>
    <w:rsid w:val="009D71B8"/>
    <w:rsid w:val="00A11694"/>
    <w:rsid w:val="00A30D45"/>
    <w:rsid w:val="00A707A2"/>
    <w:rsid w:val="00AE18A2"/>
    <w:rsid w:val="00AE3EF1"/>
    <w:rsid w:val="00B176BE"/>
    <w:rsid w:val="00B237FE"/>
    <w:rsid w:val="00B82385"/>
    <w:rsid w:val="00BB5662"/>
    <w:rsid w:val="00C0027F"/>
    <w:rsid w:val="00C04B68"/>
    <w:rsid w:val="00C5388F"/>
    <w:rsid w:val="00C75B38"/>
    <w:rsid w:val="00C9768F"/>
    <w:rsid w:val="00CA2677"/>
    <w:rsid w:val="00D22C8C"/>
    <w:rsid w:val="00D33282"/>
    <w:rsid w:val="00D6354D"/>
    <w:rsid w:val="00D87EB9"/>
    <w:rsid w:val="00DF5C86"/>
    <w:rsid w:val="00E05207"/>
    <w:rsid w:val="00EB7168"/>
    <w:rsid w:val="00EF7036"/>
    <w:rsid w:val="00F71070"/>
    <w:rsid w:val="00FE07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16BB"/>
  <w15:chartTrackingRefBased/>
  <w15:docId w15:val="{B9F9745B-BB45-4ED8-8375-FC899BE5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6"/>
    <w:pPr>
      <w:spacing w:after="0" w:line="240" w:lineRule="auto"/>
    </w:pPr>
    <w:rPr>
      <w:rFonts w:ascii="Times New Roman" w:eastAsia="Times New Roman" w:hAnsi="Times New Roman" w:cs="Times New Roman"/>
      <w:sz w:val="20"/>
      <w:szCs w:val="20"/>
      <w:lang w:val="en-US" w:eastAsia="zh-CN"/>
    </w:rPr>
  </w:style>
  <w:style w:type="paragraph" w:styleId="Heading1">
    <w:name w:val="heading 1"/>
    <w:basedOn w:val="Normal"/>
    <w:next w:val="Normal"/>
    <w:link w:val="Heading1Char"/>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DF5C86"/>
    <w:pPr>
      <w:keepNext/>
      <w:numPr>
        <w:numId w:val="2"/>
      </w:numPr>
      <w:outlineLvl w:val="1"/>
    </w:pPr>
    <w:rPr>
      <w:b/>
      <w:sz w:val="24"/>
      <w:lang w:val="ro-RO"/>
    </w:rPr>
  </w:style>
  <w:style w:type="paragraph" w:styleId="Heading5">
    <w:name w:val="heading 5"/>
    <w:basedOn w:val="Normal"/>
    <w:next w:val="Normal"/>
    <w:link w:val="Heading5Char"/>
    <w:qFormat/>
    <w:rsid w:val="00DF5C86"/>
    <w:pPr>
      <w:keepNext/>
      <w:spacing w:before="120" w:line="360" w:lineRule="auto"/>
      <w:outlineLvl w:val="4"/>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C86"/>
    <w:rPr>
      <w:rFonts w:ascii="Times New Roman" w:eastAsia="Times New Roman" w:hAnsi="Times New Roman" w:cs="Times New Roman"/>
      <w:b/>
      <w:sz w:val="24"/>
      <w:szCs w:val="20"/>
      <w:lang w:val="en-AU" w:eastAsia="zh-CN"/>
    </w:rPr>
  </w:style>
  <w:style w:type="character" w:customStyle="1" w:styleId="Heading2Char">
    <w:name w:val="Heading 2 Char"/>
    <w:basedOn w:val="DefaultParagraphFont"/>
    <w:link w:val="Heading2"/>
    <w:rsid w:val="00DF5C86"/>
    <w:rPr>
      <w:rFonts w:ascii="Times New Roman" w:eastAsia="Times New Roman" w:hAnsi="Times New Roman" w:cs="Times New Roman"/>
      <w:b/>
      <w:sz w:val="24"/>
      <w:szCs w:val="20"/>
      <w:lang w:eastAsia="zh-CN"/>
    </w:rPr>
  </w:style>
  <w:style w:type="character" w:customStyle="1" w:styleId="Heading5Char">
    <w:name w:val="Heading 5 Char"/>
    <w:basedOn w:val="DefaultParagraphFont"/>
    <w:link w:val="Heading5"/>
    <w:rsid w:val="00DF5C86"/>
    <w:rPr>
      <w:rFonts w:ascii="Times New Roman" w:eastAsia="Times New Roman" w:hAnsi="Times New Roman" w:cs="Times New Roman"/>
      <w:b/>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customStyle="1" w:styleId="BodyText2Char">
    <w:name w:val="Body Text 2 Char"/>
    <w:basedOn w:val="DefaultParagraphFont"/>
    <w:link w:val="BodyText2"/>
    <w:rsid w:val="00DF5C86"/>
    <w:rPr>
      <w:rFonts w:ascii="Times New Roman" w:eastAsia="Times New Roman" w:hAnsi="Times New Roman" w:cs="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customStyle="1" w:styleId="HeaderChar">
    <w:name w:val="Header Char"/>
    <w:basedOn w:val="DefaultParagraphFont"/>
    <w:link w:val="Header"/>
    <w:rsid w:val="00DF5C86"/>
    <w:rPr>
      <w:rFonts w:ascii="Times New Roman" w:eastAsia="Times New Roman" w:hAnsi="Times New Roman" w:cs="Times New Roman"/>
      <w:sz w:val="20"/>
      <w:szCs w:val="20"/>
      <w:lang w:val="en-AU" w:eastAsia="zh-CN"/>
    </w:rPr>
  </w:style>
  <w:style w:type="paragraph" w:styleId="Footer">
    <w:name w:val="footer"/>
    <w:basedOn w:val="Normal"/>
    <w:link w:val="FooterChar"/>
    <w:rsid w:val="00DF5C86"/>
    <w:pPr>
      <w:tabs>
        <w:tab w:val="center" w:pos="4320"/>
        <w:tab w:val="right" w:pos="8640"/>
      </w:tabs>
    </w:pPr>
  </w:style>
  <w:style w:type="character" w:customStyle="1" w:styleId="FooterChar">
    <w:name w:val="Footer Char"/>
    <w:basedOn w:val="DefaultParagraphFont"/>
    <w:link w:val="Footer"/>
    <w:rsid w:val="00DF5C86"/>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DF5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86"/>
    <w:rPr>
      <w:rFonts w:ascii="Segoe UI" w:eastAsia="Times New Roman" w:hAnsi="Segoe UI" w:cs="Segoe UI"/>
      <w:sz w:val="18"/>
      <w:szCs w:val="18"/>
      <w:lang w:val="en-US" w:eastAsia="zh-CN"/>
    </w:rPr>
  </w:style>
  <w:style w:type="character" w:styleId="CommentReference">
    <w:name w:val="annotation reference"/>
    <w:basedOn w:val="DefaultParagraphFont"/>
    <w:uiPriority w:val="99"/>
    <w:semiHidden/>
    <w:unhideWhenUsed/>
    <w:rsid w:val="002C53BC"/>
    <w:rPr>
      <w:sz w:val="16"/>
      <w:szCs w:val="16"/>
    </w:rPr>
  </w:style>
  <w:style w:type="paragraph" w:styleId="CommentText">
    <w:name w:val="annotation text"/>
    <w:basedOn w:val="Normal"/>
    <w:link w:val="CommentTextChar"/>
    <w:uiPriority w:val="99"/>
    <w:semiHidden/>
    <w:unhideWhenUsed/>
    <w:rsid w:val="002C53BC"/>
  </w:style>
  <w:style w:type="character" w:customStyle="1" w:styleId="CommentTextChar">
    <w:name w:val="Comment Text Char"/>
    <w:basedOn w:val="DefaultParagraphFont"/>
    <w:link w:val="CommentText"/>
    <w:uiPriority w:val="99"/>
    <w:semiHidden/>
    <w:rsid w:val="002C53BC"/>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2C53BC"/>
    <w:rPr>
      <w:b/>
      <w:bCs/>
    </w:rPr>
  </w:style>
  <w:style w:type="character" w:customStyle="1" w:styleId="CommentSubjectChar">
    <w:name w:val="Comment Subject Char"/>
    <w:basedOn w:val="CommentTextChar"/>
    <w:link w:val="CommentSubject"/>
    <w:uiPriority w:val="99"/>
    <w:semiHidden/>
    <w:rsid w:val="002C53BC"/>
    <w:rPr>
      <w:rFonts w:ascii="Times New Roman" w:eastAsia="Times New Roman" w:hAnsi="Times New Roman" w:cs="Times New Roman"/>
      <w:b/>
      <w:bCs/>
      <w:sz w:val="20"/>
      <w:szCs w:val="20"/>
      <w:lang w:val="en-US" w:eastAsia="zh-CN"/>
    </w:rPr>
  </w:style>
  <w:style w:type="paragraph" w:customStyle="1" w:styleId="Default">
    <w:name w:val="Default"/>
    <w:rsid w:val="004060B4"/>
    <w:pPr>
      <w:widowControl w:val="0"/>
      <w:spacing w:after="0" w:line="240" w:lineRule="auto"/>
    </w:pPr>
    <w:rPr>
      <w:rFonts w:ascii="Times New Roman" w:eastAsia="ヒラギノ角ゴ Pro W3" w:hAnsi="Times New Roman" w:cs="Times New Roman"/>
      <w:color w:val="000000"/>
      <w:sz w:val="24"/>
      <w:szCs w:val="20"/>
      <w:lang w:val="en-AU" w:eastAsia="en-GB"/>
    </w:rPr>
  </w:style>
  <w:style w:type="paragraph" w:styleId="ListParagraph">
    <w:name w:val="List Paragraph"/>
    <w:basedOn w:val="Normal"/>
    <w:uiPriority w:val="34"/>
    <w:qFormat/>
    <w:rsid w:val="009446D9"/>
    <w:pPr>
      <w:ind w:left="720"/>
      <w:contextualSpacing/>
    </w:pPr>
  </w:style>
  <w:style w:type="paragraph" w:styleId="FootnoteText">
    <w:name w:val="footnote text"/>
    <w:basedOn w:val="Normal"/>
    <w:link w:val="FootnoteTextChar"/>
    <w:uiPriority w:val="99"/>
    <w:semiHidden/>
    <w:unhideWhenUsed/>
    <w:rsid w:val="006835D9"/>
    <w:pPr>
      <w:spacing w:after="200" w:line="276" w:lineRule="auto"/>
    </w:pPr>
    <w:rPr>
      <w:rFonts w:ascii="Calibri" w:eastAsia="Calibri" w:hAnsi="Calibri"/>
      <w:lang w:val="ro-RO" w:eastAsia="en-US"/>
    </w:rPr>
  </w:style>
  <w:style w:type="character" w:customStyle="1" w:styleId="FootnoteTextChar">
    <w:name w:val="Footnote Text Char"/>
    <w:basedOn w:val="DefaultParagraphFont"/>
    <w:link w:val="FootnoteText"/>
    <w:uiPriority w:val="99"/>
    <w:semiHidden/>
    <w:rsid w:val="006835D9"/>
    <w:rPr>
      <w:rFonts w:ascii="Calibri" w:eastAsia="Calibri" w:hAnsi="Calibri" w:cs="Times New Roman"/>
      <w:sz w:val="20"/>
      <w:szCs w:val="20"/>
    </w:rPr>
  </w:style>
  <w:style w:type="character" w:styleId="FootnoteReference">
    <w:name w:val="footnote reference"/>
    <w:uiPriority w:val="99"/>
    <w:semiHidden/>
    <w:unhideWhenUsed/>
    <w:rsid w:val="006835D9"/>
    <w:rPr>
      <w:vertAlign w:val="superscript"/>
    </w:rPr>
  </w:style>
  <w:style w:type="table" w:styleId="TableGrid">
    <w:name w:val="Table Grid"/>
    <w:basedOn w:val="TableNormal"/>
    <w:uiPriority w:val="99"/>
    <w:rsid w:val="006835D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35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5AE34-D50E-4849-A245-9488481C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2390</Words>
  <Characters>12049</Characters>
  <Application>Microsoft Office Word</Application>
  <DocSecurity>0</DocSecurity>
  <Lines>6024</Lines>
  <Paragraphs>1312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Sergiu Golub</cp:lastModifiedBy>
  <cp:revision>5</cp:revision>
  <cp:lastPrinted>2021-03-25T05:53:00Z</cp:lastPrinted>
  <dcterms:created xsi:type="dcterms:W3CDTF">2026-01-21T10:40:00Z</dcterms:created>
  <dcterms:modified xsi:type="dcterms:W3CDTF">2026-01-21T11:01:00Z</dcterms:modified>
</cp:coreProperties>
</file>