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3EAE" w14:textId="3DB20563" w:rsidR="001349C9" w:rsidRPr="003D79B5" w:rsidRDefault="00DF5C86" w:rsidP="000E4636">
      <w:pPr>
        <w:pStyle w:val="Heading2"/>
        <w:numPr>
          <w:ilvl w:val="0"/>
          <w:numId w:val="0"/>
        </w:numPr>
        <w:spacing w:after="120"/>
        <w:ind w:firstLine="567"/>
        <w:jc w:val="center"/>
        <w:rPr>
          <w:rFonts w:ascii="Aptos" w:hAnsi="Aptos"/>
          <w:sz w:val="20"/>
        </w:rPr>
      </w:pPr>
      <w:r w:rsidRPr="003D79B5">
        <w:rPr>
          <w:rFonts w:ascii="Aptos" w:hAnsi="Aptos"/>
          <w:sz w:val="20"/>
        </w:rPr>
        <w:t>FIŞA DISCIPLINEI</w:t>
      </w:r>
      <w:r w:rsidR="001349C9" w:rsidRPr="003D79B5">
        <w:rPr>
          <w:rFonts w:ascii="Aptos" w:hAnsi="Aptos"/>
          <w:sz w:val="20"/>
        </w:rPr>
        <w:t xml:space="preserve"> </w:t>
      </w:r>
      <w:r w:rsidR="00862D5E" w:rsidRPr="003D79B5">
        <w:rPr>
          <w:rFonts w:ascii="Aptos" w:hAnsi="Aptos"/>
          <w:sz w:val="20"/>
        </w:rPr>
        <w:t>INTRODUCTION TO EUROPEAN TAX LAW</w:t>
      </w:r>
    </w:p>
    <w:p w14:paraId="71858AD7" w14:textId="6E4952EA" w:rsidR="00862D5E" w:rsidRPr="003D79B5" w:rsidRDefault="00862D5E" w:rsidP="00862D5E">
      <w:pPr>
        <w:jc w:val="center"/>
        <w:rPr>
          <w:rFonts w:ascii="Aptos" w:hAnsi="Aptos"/>
          <w:b/>
          <w:lang w:val="ro-RO"/>
        </w:rPr>
      </w:pPr>
      <w:r w:rsidRPr="003D79B5">
        <w:rPr>
          <w:rFonts w:ascii="Aptos" w:hAnsi="Aptos"/>
          <w:b/>
          <w:lang w:val="ro-RO"/>
        </w:rPr>
        <w:t>(INTRODUCERE ÎN DREPTUL FISCAL EUROPEAN)</w:t>
      </w:r>
    </w:p>
    <w:p w14:paraId="60CCC61F" w14:textId="77777777" w:rsidR="001349C9" w:rsidRPr="003D79B5" w:rsidRDefault="001349C9" w:rsidP="001349C9">
      <w:pPr>
        <w:rPr>
          <w:rFonts w:ascii="Aptos" w:hAnsi="Aptos"/>
          <w:lang w:val="ro-RO"/>
        </w:rPr>
      </w:pPr>
    </w:p>
    <w:p w14:paraId="4DF3CF79" w14:textId="1D6B20C9" w:rsidR="001349C9" w:rsidRPr="003D79B5" w:rsidRDefault="001349C9" w:rsidP="001349C9">
      <w:pPr>
        <w:rPr>
          <w:rFonts w:ascii="Aptos" w:hAnsi="Aptos"/>
          <w:lang w:val="ro-RO"/>
        </w:rPr>
      </w:pPr>
    </w:p>
    <w:p w14:paraId="31D591F7" w14:textId="7D98F354" w:rsidR="001349C9" w:rsidRPr="003D79B5" w:rsidRDefault="001349C9" w:rsidP="001349C9">
      <w:pPr>
        <w:jc w:val="right"/>
        <w:rPr>
          <w:rFonts w:ascii="Aptos" w:hAnsi="Aptos"/>
          <w:b/>
          <w:lang w:val="ro-RO"/>
        </w:rPr>
      </w:pPr>
      <w:r w:rsidRPr="003D79B5">
        <w:rPr>
          <w:rFonts w:ascii="Aptos" w:hAnsi="Aptos"/>
          <w:b/>
          <w:lang w:val="ro-RO"/>
        </w:rPr>
        <w:t>CONF. DR. COSMIN FLAVIUS COSTAȘ</w:t>
      </w:r>
    </w:p>
    <w:p w14:paraId="1B01A81E" w14:textId="77777777" w:rsidR="001349C9" w:rsidRPr="003D79B5" w:rsidRDefault="001349C9" w:rsidP="001349C9">
      <w:pPr>
        <w:jc w:val="right"/>
        <w:rPr>
          <w:rFonts w:ascii="Aptos" w:hAnsi="Aptos"/>
          <w:b/>
          <w:lang w:val="ro-RO"/>
        </w:rPr>
      </w:pPr>
    </w:p>
    <w:p w14:paraId="20E06A4F" w14:textId="77777777" w:rsidR="004D5C24" w:rsidRPr="003D79B5" w:rsidRDefault="004D5C24" w:rsidP="00DF5C86">
      <w:pPr>
        <w:pStyle w:val="BodyText2"/>
        <w:rPr>
          <w:rFonts w:ascii="Aptos" w:hAnsi="Aptos" w:cs="Arial"/>
          <w:b/>
          <w:sz w:val="20"/>
        </w:rPr>
      </w:pPr>
    </w:p>
    <w:p w14:paraId="5C5B2BA5" w14:textId="5701FCD3" w:rsidR="00DF5C86" w:rsidRPr="003D79B5" w:rsidRDefault="00DF5C86" w:rsidP="00DF5C86">
      <w:pPr>
        <w:pStyle w:val="BodyText2"/>
        <w:rPr>
          <w:rFonts w:ascii="Aptos" w:hAnsi="Aptos" w:cs="Arial"/>
          <w:b/>
          <w:sz w:val="20"/>
        </w:rPr>
      </w:pPr>
      <w:r w:rsidRPr="003D79B5">
        <w:rPr>
          <w:rFonts w:ascii="Aptos" w:hAnsi="Aptos" w:cs="Arial"/>
          <w:b/>
          <w:sz w:val="20"/>
        </w:rPr>
        <w:t>1. Date despre program</w:t>
      </w:r>
    </w:p>
    <w:p w14:paraId="024D01B9" w14:textId="77777777" w:rsidR="001349C9" w:rsidRPr="003D79B5" w:rsidRDefault="001349C9" w:rsidP="00DF5C86">
      <w:pPr>
        <w:pStyle w:val="BodyText2"/>
        <w:rPr>
          <w:rFonts w:ascii="Aptos" w:hAnsi="Aptos" w:cs="Arial"/>
          <w:b/>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7A11FB" w:rsidRPr="003D79B5" w14:paraId="53C235A4" w14:textId="77777777" w:rsidTr="00A6083F">
        <w:trPr>
          <w:trHeight w:val="98"/>
        </w:trPr>
        <w:tc>
          <w:tcPr>
            <w:tcW w:w="3402" w:type="dxa"/>
          </w:tcPr>
          <w:p w14:paraId="30A635B4" w14:textId="77777777" w:rsidR="007A11FB" w:rsidRPr="003D79B5" w:rsidRDefault="007A11FB" w:rsidP="007A11FB">
            <w:pPr>
              <w:pStyle w:val="Heading1"/>
              <w:numPr>
                <w:ilvl w:val="0"/>
                <w:numId w:val="0"/>
              </w:numPr>
              <w:ind w:left="34"/>
              <w:rPr>
                <w:rFonts w:ascii="Aptos" w:hAnsi="Aptos" w:cs="Arial"/>
                <w:b w:val="0"/>
                <w:sz w:val="20"/>
                <w:lang w:val="ro-RO"/>
              </w:rPr>
            </w:pPr>
            <w:r w:rsidRPr="003D79B5">
              <w:rPr>
                <w:rFonts w:ascii="Aptos" w:hAnsi="Aptos" w:cs="Arial"/>
                <w:b w:val="0"/>
                <w:sz w:val="20"/>
                <w:lang w:val="ro-RO"/>
              </w:rPr>
              <w:t>1.1. Instituţia de învăţământ superior</w:t>
            </w:r>
          </w:p>
        </w:tc>
        <w:tc>
          <w:tcPr>
            <w:tcW w:w="6498" w:type="dxa"/>
            <w:tcBorders>
              <w:top w:val="single" w:sz="4" w:space="0" w:color="auto"/>
              <w:left w:val="single" w:sz="4" w:space="0" w:color="auto"/>
              <w:bottom w:val="single" w:sz="4" w:space="0" w:color="auto"/>
              <w:right w:val="single" w:sz="4" w:space="0" w:color="auto"/>
            </w:tcBorders>
          </w:tcPr>
          <w:p w14:paraId="73670F48" w14:textId="77777777" w:rsidR="007A11FB" w:rsidRPr="003D79B5" w:rsidRDefault="007A11FB" w:rsidP="007A11FB">
            <w:pPr>
              <w:rPr>
                <w:rFonts w:ascii="Aptos" w:hAnsi="Aptos" w:cs="Arial"/>
              </w:rPr>
            </w:pPr>
            <w:r w:rsidRPr="003D79B5">
              <w:rPr>
                <w:rFonts w:ascii="Aptos" w:hAnsi="Aptos" w:cs="Arial"/>
              </w:rPr>
              <w:t>UNIVERSITATEA BABEŞ-BOLYAI</w:t>
            </w:r>
          </w:p>
        </w:tc>
      </w:tr>
      <w:tr w:rsidR="007A11FB" w:rsidRPr="003D79B5" w14:paraId="48080983" w14:textId="77777777" w:rsidTr="00A6083F">
        <w:tc>
          <w:tcPr>
            <w:tcW w:w="3402" w:type="dxa"/>
          </w:tcPr>
          <w:p w14:paraId="5C90B16A" w14:textId="77777777" w:rsidR="007A11FB" w:rsidRPr="003D79B5" w:rsidRDefault="007A11FB" w:rsidP="007A11FB">
            <w:pPr>
              <w:pStyle w:val="Heading5"/>
              <w:spacing w:before="0" w:line="240" w:lineRule="auto"/>
              <w:ind w:left="34"/>
              <w:rPr>
                <w:rFonts w:ascii="Aptos" w:hAnsi="Aptos" w:cs="Arial"/>
                <w:b w:val="0"/>
                <w:sz w:val="20"/>
              </w:rPr>
            </w:pPr>
            <w:r w:rsidRPr="003D79B5">
              <w:rPr>
                <w:rFonts w:ascii="Aptos" w:hAnsi="Aptos" w:cs="Arial"/>
                <w:b w:val="0"/>
                <w:sz w:val="20"/>
              </w:rPr>
              <w:t>1.2. Facultatea</w:t>
            </w:r>
          </w:p>
        </w:tc>
        <w:tc>
          <w:tcPr>
            <w:tcW w:w="6498" w:type="dxa"/>
            <w:tcBorders>
              <w:top w:val="single" w:sz="4" w:space="0" w:color="auto"/>
              <w:left w:val="single" w:sz="4" w:space="0" w:color="auto"/>
              <w:bottom w:val="single" w:sz="4" w:space="0" w:color="auto"/>
              <w:right w:val="single" w:sz="4" w:space="0" w:color="auto"/>
            </w:tcBorders>
          </w:tcPr>
          <w:p w14:paraId="35F30B5F" w14:textId="77777777" w:rsidR="007A11FB" w:rsidRPr="003D79B5" w:rsidRDefault="007A11FB" w:rsidP="007A11FB">
            <w:pPr>
              <w:rPr>
                <w:rFonts w:ascii="Aptos" w:hAnsi="Aptos" w:cs="Arial"/>
              </w:rPr>
            </w:pPr>
            <w:r w:rsidRPr="003D79B5">
              <w:rPr>
                <w:rFonts w:ascii="Aptos" w:hAnsi="Aptos" w:cs="Arial"/>
              </w:rPr>
              <w:t>DREPT</w:t>
            </w:r>
          </w:p>
        </w:tc>
      </w:tr>
      <w:tr w:rsidR="007A11FB" w:rsidRPr="003D79B5" w14:paraId="57187665" w14:textId="77777777" w:rsidTr="00A6083F">
        <w:tc>
          <w:tcPr>
            <w:tcW w:w="3402" w:type="dxa"/>
          </w:tcPr>
          <w:p w14:paraId="7761C3CC" w14:textId="77777777" w:rsidR="007A11FB" w:rsidRPr="003D79B5" w:rsidRDefault="007A11FB" w:rsidP="007A11FB">
            <w:pPr>
              <w:pStyle w:val="Heading1"/>
              <w:numPr>
                <w:ilvl w:val="0"/>
                <w:numId w:val="0"/>
              </w:numPr>
              <w:ind w:left="34"/>
              <w:rPr>
                <w:rFonts w:ascii="Aptos" w:hAnsi="Aptos" w:cs="Arial"/>
                <w:b w:val="0"/>
                <w:sz w:val="20"/>
                <w:lang w:val="ro-RO"/>
              </w:rPr>
            </w:pPr>
            <w:r w:rsidRPr="003D79B5">
              <w:rPr>
                <w:rFonts w:ascii="Aptos" w:hAnsi="Aptos" w:cs="Arial"/>
                <w:b w:val="0"/>
                <w:sz w:val="20"/>
                <w:lang w:val="ro-RO"/>
              </w:rPr>
              <w:t>1.3. Departamentul</w:t>
            </w:r>
          </w:p>
        </w:tc>
        <w:tc>
          <w:tcPr>
            <w:tcW w:w="6498" w:type="dxa"/>
            <w:tcBorders>
              <w:top w:val="single" w:sz="4" w:space="0" w:color="auto"/>
              <w:left w:val="single" w:sz="4" w:space="0" w:color="auto"/>
              <w:bottom w:val="single" w:sz="4" w:space="0" w:color="auto"/>
              <w:right w:val="single" w:sz="4" w:space="0" w:color="auto"/>
            </w:tcBorders>
          </w:tcPr>
          <w:p w14:paraId="7CA167CF" w14:textId="77777777" w:rsidR="007A11FB" w:rsidRPr="003D79B5" w:rsidRDefault="007A11FB" w:rsidP="007A11FB">
            <w:pPr>
              <w:rPr>
                <w:rFonts w:ascii="Aptos" w:hAnsi="Aptos" w:cs="Arial"/>
              </w:rPr>
            </w:pPr>
            <w:r w:rsidRPr="003D79B5">
              <w:rPr>
                <w:rFonts w:ascii="Aptos" w:hAnsi="Aptos" w:cs="Arial"/>
              </w:rPr>
              <w:t>DREPT PUBLIC</w:t>
            </w:r>
          </w:p>
        </w:tc>
      </w:tr>
      <w:tr w:rsidR="007A11FB" w:rsidRPr="003D79B5" w14:paraId="107C5FBA" w14:textId="77777777" w:rsidTr="00A6083F">
        <w:tc>
          <w:tcPr>
            <w:tcW w:w="3402" w:type="dxa"/>
          </w:tcPr>
          <w:p w14:paraId="6082E6D1" w14:textId="77777777" w:rsidR="007A11FB" w:rsidRPr="003D79B5" w:rsidRDefault="007A11FB" w:rsidP="007A11FB">
            <w:pPr>
              <w:ind w:left="34"/>
              <w:rPr>
                <w:rFonts w:ascii="Aptos" w:hAnsi="Aptos" w:cs="Arial"/>
                <w:lang w:val="ro-RO"/>
              </w:rPr>
            </w:pPr>
            <w:r w:rsidRPr="003D79B5">
              <w:rPr>
                <w:rFonts w:ascii="Aptos" w:hAnsi="Aptos" w:cs="Arial"/>
                <w:lang w:val="ro-RO"/>
              </w:rPr>
              <w:t>1.4.Domeniul de studii</w:t>
            </w:r>
          </w:p>
        </w:tc>
        <w:tc>
          <w:tcPr>
            <w:tcW w:w="6498" w:type="dxa"/>
            <w:tcBorders>
              <w:top w:val="single" w:sz="4" w:space="0" w:color="auto"/>
              <w:left w:val="single" w:sz="4" w:space="0" w:color="auto"/>
              <w:bottom w:val="single" w:sz="4" w:space="0" w:color="auto"/>
              <w:right w:val="single" w:sz="4" w:space="0" w:color="auto"/>
            </w:tcBorders>
          </w:tcPr>
          <w:p w14:paraId="18DDCFDF" w14:textId="36106E21" w:rsidR="007A11FB" w:rsidRPr="003D79B5" w:rsidRDefault="00560E73" w:rsidP="007A11FB">
            <w:pPr>
              <w:rPr>
                <w:rFonts w:ascii="Aptos" w:hAnsi="Aptos" w:cs="Arial"/>
              </w:rPr>
            </w:pPr>
            <w:r w:rsidRPr="003D79B5">
              <w:rPr>
                <w:rFonts w:ascii="Aptos" w:hAnsi="Aptos" w:cs="Arial"/>
              </w:rPr>
              <w:t>DREPT</w:t>
            </w:r>
          </w:p>
        </w:tc>
      </w:tr>
      <w:tr w:rsidR="007A11FB" w:rsidRPr="003D79B5" w14:paraId="40EF0191" w14:textId="77777777" w:rsidTr="00A6083F">
        <w:tc>
          <w:tcPr>
            <w:tcW w:w="3402" w:type="dxa"/>
          </w:tcPr>
          <w:p w14:paraId="0E712183" w14:textId="77777777" w:rsidR="007A11FB" w:rsidRPr="003D79B5" w:rsidRDefault="007A11FB" w:rsidP="007A11FB">
            <w:pPr>
              <w:ind w:left="34"/>
              <w:rPr>
                <w:rFonts w:ascii="Aptos" w:hAnsi="Aptos" w:cs="Arial"/>
                <w:vertAlign w:val="superscript"/>
                <w:lang w:val="ro-RO"/>
              </w:rPr>
            </w:pPr>
            <w:r w:rsidRPr="003D79B5">
              <w:rPr>
                <w:rFonts w:ascii="Aptos" w:hAnsi="Aptos" w:cs="Arial"/>
                <w:lang w:val="ro-RO"/>
              </w:rPr>
              <w:t>1.5.Ciclul de studii</w:t>
            </w:r>
          </w:p>
        </w:tc>
        <w:tc>
          <w:tcPr>
            <w:tcW w:w="6498" w:type="dxa"/>
            <w:tcBorders>
              <w:top w:val="single" w:sz="4" w:space="0" w:color="auto"/>
              <w:left w:val="single" w:sz="4" w:space="0" w:color="auto"/>
              <w:bottom w:val="single" w:sz="4" w:space="0" w:color="auto"/>
              <w:right w:val="single" w:sz="4" w:space="0" w:color="auto"/>
            </w:tcBorders>
          </w:tcPr>
          <w:p w14:paraId="251F683F" w14:textId="77777777" w:rsidR="007A11FB" w:rsidRPr="003D79B5" w:rsidRDefault="007A11FB" w:rsidP="007A11FB">
            <w:pPr>
              <w:rPr>
                <w:rFonts w:ascii="Aptos" w:hAnsi="Aptos" w:cs="Arial"/>
              </w:rPr>
            </w:pPr>
            <w:r w:rsidRPr="003D79B5">
              <w:rPr>
                <w:rFonts w:ascii="Aptos" w:hAnsi="Aptos" w:cs="Arial"/>
              </w:rPr>
              <w:t>LICENŢĂ</w:t>
            </w:r>
          </w:p>
        </w:tc>
      </w:tr>
      <w:tr w:rsidR="007A11FB" w:rsidRPr="003D79B5" w14:paraId="15842ACD" w14:textId="77777777" w:rsidTr="00A6083F">
        <w:trPr>
          <w:trHeight w:val="106"/>
        </w:trPr>
        <w:tc>
          <w:tcPr>
            <w:tcW w:w="3402" w:type="dxa"/>
          </w:tcPr>
          <w:p w14:paraId="2C1BF8DC" w14:textId="77777777" w:rsidR="007A11FB" w:rsidRPr="003D79B5" w:rsidRDefault="007A11FB" w:rsidP="007A11FB">
            <w:pPr>
              <w:pStyle w:val="Heading2"/>
              <w:numPr>
                <w:ilvl w:val="0"/>
                <w:numId w:val="0"/>
              </w:numPr>
              <w:ind w:left="34"/>
              <w:rPr>
                <w:rFonts w:ascii="Aptos" w:hAnsi="Aptos" w:cs="Arial"/>
                <w:b w:val="0"/>
                <w:sz w:val="20"/>
              </w:rPr>
            </w:pPr>
            <w:r w:rsidRPr="003D79B5">
              <w:rPr>
                <w:rFonts w:ascii="Aptos" w:hAnsi="Aptos" w:cs="Arial"/>
                <w:b w:val="0"/>
                <w:sz w:val="20"/>
              </w:rPr>
              <w:t>1.6. Programul de studii/ Calificarea</w:t>
            </w:r>
          </w:p>
        </w:tc>
        <w:tc>
          <w:tcPr>
            <w:tcW w:w="6498" w:type="dxa"/>
            <w:tcBorders>
              <w:top w:val="single" w:sz="4" w:space="0" w:color="auto"/>
              <w:left w:val="single" w:sz="4" w:space="0" w:color="auto"/>
              <w:bottom w:val="single" w:sz="4" w:space="0" w:color="auto"/>
              <w:right w:val="single" w:sz="4" w:space="0" w:color="auto"/>
            </w:tcBorders>
          </w:tcPr>
          <w:p w14:paraId="4826D9F3" w14:textId="77777777" w:rsidR="007A11FB" w:rsidRPr="003D79B5" w:rsidRDefault="007A11FB" w:rsidP="007A11FB">
            <w:pPr>
              <w:rPr>
                <w:rFonts w:ascii="Aptos" w:hAnsi="Aptos" w:cs="Arial"/>
              </w:rPr>
            </w:pPr>
            <w:r w:rsidRPr="003D79B5">
              <w:rPr>
                <w:rFonts w:ascii="Aptos" w:hAnsi="Aptos" w:cs="Arial"/>
              </w:rPr>
              <w:t>DREPT</w:t>
            </w:r>
          </w:p>
        </w:tc>
      </w:tr>
      <w:tr w:rsidR="00DF5C86" w:rsidRPr="003D79B5" w14:paraId="1B75190B" w14:textId="77777777" w:rsidTr="00A6083F">
        <w:trPr>
          <w:trHeight w:val="106"/>
        </w:trPr>
        <w:tc>
          <w:tcPr>
            <w:tcW w:w="3402" w:type="dxa"/>
          </w:tcPr>
          <w:p w14:paraId="0A6AC70E" w14:textId="77777777" w:rsidR="00DF5C86" w:rsidRPr="003D79B5" w:rsidRDefault="00DF5C86" w:rsidP="00A6083F">
            <w:pPr>
              <w:pStyle w:val="Heading2"/>
              <w:numPr>
                <w:ilvl w:val="0"/>
                <w:numId w:val="0"/>
              </w:numPr>
              <w:ind w:left="34"/>
              <w:rPr>
                <w:rFonts w:ascii="Aptos" w:hAnsi="Aptos" w:cs="Arial"/>
                <w:b w:val="0"/>
                <w:sz w:val="20"/>
              </w:rPr>
            </w:pPr>
            <w:r w:rsidRPr="003D79B5">
              <w:rPr>
                <w:rFonts w:ascii="Aptos" w:hAnsi="Aptos" w:cs="Arial"/>
                <w:b w:val="0"/>
                <w:sz w:val="20"/>
              </w:rPr>
              <w:t>1.7. Forma de învăţământ</w:t>
            </w:r>
          </w:p>
        </w:tc>
        <w:tc>
          <w:tcPr>
            <w:tcW w:w="6498" w:type="dxa"/>
            <w:vAlign w:val="center"/>
          </w:tcPr>
          <w:p w14:paraId="3D6309A0" w14:textId="77777777" w:rsidR="00DF5C86" w:rsidRPr="003D79B5" w:rsidRDefault="007A11FB" w:rsidP="006447E3">
            <w:pPr>
              <w:rPr>
                <w:rFonts w:ascii="Aptos" w:hAnsi="Aptos" w:cs="Arial"/>
                <w:lang w:val="ro-RO"/>
              </w:rPr>
            </w:pPr>
            <w:r w:rsidRPr="003D79B5">
              <w:rPr>
                <w:rFonts w:ascii="Aptos" w:hAnsi="Aptos" w:cs="Arial"/>
                <w:lang w:val="ro-RO"/>
              </w:rPr>
              <w:t>ÎNVĂȚĂMÂNT LA DISTANȚĂ</w:t>
            </w:r>
          </w:p>
        </w:tc>
      </w:tr>
    </w:tbl>
    <w:p w14:paraId="764E6D45" w14:textId="77777777" w:rsidR="00DF5C86" w:rsidRPr="003D79B5" w:rsidRDefault="00DF5C86" w:rsidP="00DF5C86">
      <w:pPr>
        <w:rPr>
          <w:rFonts w:ascii="Aptos" w:hAnsi="Aptos" w:cs="Arial"/>
          <w:b/>
          <w:lang w:val="ro-RO"/>
        </w:rPr>
      </w:pPr>
    </w:p>
    <w:p w14:paraId="39C2EBB3" w14:textId="5F47CC3B" w:rsidR="00DF5C86" w:rsidRPr="003D79B5" w:rsidRDefault="00DF5C86" w:rsidP="00DF5C86">
      <w:pPr>
        <w:rPr>
          <w:rFonts w:ascii="Aptos" w:hAnsi="Aptos" w:cs="Arial"/>
          <w:b/>
          <w:lang w:val="ro-RO"/>
        </w:rPr>
      </w:pPr>
      <w:r w:rsidRPr="003D79B5">
        <w:rPr>
          <w:rFonts w:ascii="Aptos" w:hAnsi="Aptos" w:cs="Arial"/>
          <w:b/>
          <w:lang w:val="ro-RO"/>
        </w:rPr>
        <w:t xml:space="preserve">2. Date despre disciplină </w:t>
      </w:r>
    </w:p>
    <w:p w14:paraId="6072CBDA" w14:textId="77777777" w:rsidR="001349C9" w:rsidRPr="003D79B5"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918"/>
        <w:gridCol w:w="1134"/>
        <w:gridCol w:w="283"/>
        <w:gridCol w:w="992"/>
        <w:gridCol w:w="541"/>
        <w:gridCol w:w="735"/>
        <w:gridCol w:w="799"/>
      </w:tblGrid>
      <w:tr w:rsidR="0072360F" w:rsidRPr="003D79B5" w14:paraId="2013AE34" w14:textId="77777777" w:rsidTr="008A0F79">
        <w:tc>
          <w:tcPr>
            <w:tcW w:w="2230" w:type="dxa"/>
            <w:gridSpan w:val="3"/>
          </w:tcPr>
          <w:p w14:paraId="05D900C8" w14:textId="77777777" w:rsidR="0072360F" w:rsidRPr="003D79B5" w:rsidRDefault="0072360F" w:rsidP="00A6083F">
            <w:pPr>
              <w:rPr>
                <w:rFonts w:ascii="Aptos" w:hAnsi="Aptos" w:cs="Arial"/>
                <w:lang w:val="ro-RO"/>
              </w:rPr>
            </w:pPr>
            <w:r w:rsidRPr="003D79B5">
              <w:rPr>
                <w:rFonts w:ascii="Aptos" w:hAnsi="Aptos" w:cs="Arial"/>
                <w:lang w:val="ro-RO"/>
              </w:rPr>
              <w:t>2.1. Denumirea disciplinei</w:t>
            </w:r>
          </w:p>
        </w:tc>
        <w:tc>
          <w:tcPr>
            <w:tcW w:w="4603" w:type="dxa"/>
            <w:gridSpan w:val="6"/>
            <w:vAlign w:val="center"/>
          </w:tcPr>
          <w:p w14:paraId="70FFA875" w14:textId="113BAA3F" w:rsidR="0072360F" w:rsidRPr="003D79B5" w:rsidRDefault="00F93158" w:rsidP="00F93158">
            <w:pPr>
              <w:rPr>
                <w:rFonts w:ascii="Aptos" w:hAnsi="Aptos" w:cs="Arial"/>
                <w:b/>
                <w:lang w:val="ro-RO"/>
              </w:rPr>
            </w:pPr>
            <w:r w:rsidRPr="003D79B5">
              <w:rPr>
                <w:rFonts w:ascii="Aptos" w:hAnsi="Aptos" w:cs="Arial"/>
                <w:b/>
              </w:rPr>
              <w:t>Introduction to European Tax Law (</w:t>
            </w:r>
            <w:proofErr w:type="spellStart"/>
            <w:r w:rsidRPr="003D79B5">
              <w:rPr>
                <w:rFonts w:ascii="Aptos" w:hAnsi="Aptos" w:cs="Arial"/>
                <w:b/>
              </w:rPr>
              <w:t>Introducere</w:t>
            </w:r>
            <w:proofErr w:type="spellEnd"/>
            <w:r w:rsidRPr="003D79B5">
              <w:rPr>
                <w:rFonts w:ascii="Aptos" w:hAnsi="Aptos" w:cs="Arial"/>
                <w:b/>
              </w:rPr>
              <w:t xml:space="preserve"> </w:t>
            </w:r>
            <w:proofErr w:type="spellStart"/>
            <w:r w:rsidRPr="003D79B5">
              <w:rPr>
                <w:rFonts w:ascii="Aptos" w:hAnsi="Aptos" w:cs="Arial"/>
                <w:b/>
              </w:rPr>
              <w:t>în</w:t>
            </w:r>
            <w:proofErr w:type="spellEnd"/>
            <w:r w:rsidRPr="003D79B5">
              <w:rPr>
                <w:rFonts w:ascii="Aptos" w:hAnsi="Aptos" w:cs="Arial"/>
                <w:b/>
              </w:rPr>
              <w:t xml:space="preserve"> </w:t>
            </w:r>
            <w:proofErr w:type="spellStart"/>
            <w:r w:rsidRPr="003D79B5">
              <w:rPr>
                <w:rFonts w:ascii="Aptos" w:hAnsi="Aptos" w:cs="Arial"/>
                <w:b/>
              </w:rPr>
              <w:t>dreptul</w:t>
            </w:r>
            <w:proofErr w:type="spellEnd"/>
            <w:r w:rsidRPr="003D79B5">
              <w:rPr>
                <w:rFonts w:ascii="Aptos" w:hAnsi="Aptos" w:cs="Arial"/>
                <w:b/>
              </w:rPr>
              <w:t xml:space="preserve"> fiscal </w:t>
            </w:r>
            <w:proofErr w:type="spellStart"/>
            <w:r w:rsidRPr="003D79B5">
              <w:rPr>
                <w:rFonts w:ascii="Aptos" w:hAnsi="Aptos" w:cs="Arial"/>
                <w:b/>
              </w:rPr>
              <w:t>european</w:t>
            </w:r>
            <w:proofErr w:type="spellEnd"/>
            <w:r w:rsidRPr="003D79B5">
              <w:rPr>
                <w:rFonts w:ascii="Aptos" w:hAnsi="Aptos" w:cs="Arial"/>
                <w:b/>
              </w:rPr>
              <w:t>)</w:t>
            </w:r>
          </w:p>
        </w:tc>
        <w:tc>
          <w:tcPr>
            <w:tcW w:w="1533" w:type="dxa"/>
            <w:gridSpan w:val="2"/>
          </w:tcPr>
          <w:p w14:paraId="1AEE8C5D" w14:textId="77777777" w:rsidR="0072360F" w:rsidRPr="003D79B5" w:rsidRDefault="0072360F" w:rsidP="00A6083F">
            <w:pPr>
              <w:rPr>
                <w:rFonts w:ascii="Aptos" w:hAnsi="Aptos" w:cs="Arial"/>
                <w:lang w:val="ro-RO"/>
              </w:rPr>
            </w:pPr>
            <w:r w:rsidRPr="003D79B5">
              <w:rPr>
                <w:rFonts w:ascii="Aptos" w:hAnsi="Aptos" w:cs="Arial"/>
                <w:lang w:val="ro-RO"/>
              </w:rPr>
              <w:t>Codul disciplinei</w:t>
            </w:r>
          </w:p>
        </w:tc>
        <w:tc>
          <w:tcPr>
            <w:tcW w:w="1534" w:type="dxa"/>
            <w:gridSpan w:val="2"/>
            <w:vAlign w:val="center"/>
          </w:tcPr>
          <w:p w14:paraId="4C8B8900" w14:textId="28856AC7" w:rsidR="0072360F" w:rsidRPr="003D79B5" w:rsidRDefault="007A11FB" w:rsidP="008A0F79">
            <w:pPr>
              <w:rPr>
                <w:rFonts w:ascii="Aptos" w:hAnsi="Aptos" w:cs="Arial"/>
                <w:b/>
                <w:lang w:val="ro-RO"/>
              </w:rPr>
            </w:pPr>
            <w:r w:rsidRPr="003D79B5">
              <w:rPr>
                <w:rFonts w:ascii="Aptos" w:hAnsi="Aptos" w:cs="Arial"/>
                <w:b/>
                <w:lang w:val="ro-RO"/>
              </w:rPr>
              <w:t>DL</w:t>
            </w:r>
            <w:r w:rsidR="00267782" w:rsidRPr="003D79B5">
              <w:rPr>
                <w:rFonts w:ascii="Aptos" w:hAnsi="Aptos" w:cs="Arial"/>
                <w:b/>
                <w:lang w:val="ro-RO"/>
              </w:rPr>
              <w:t>E4197</w:t>
            </w:r>
          </w:p>
        </w:tc>
      </w:tr>
      <w:tr w:rsidR="00DF5C86" w:rsidRPr="003D79B5" w14:paraId="6DF8875D" w14:textId="77777777" w:rsidTr="008A0F79">
        <w:tc>
          <w:tcPr>
            <w:tcW w:w="4498" w:type="dxa"/>
            <w:gridSpan w:val="6"/>
          </w:tcPr>
          <w:p w14:paraId="2E0EB544" w14:textId="77777777" w:rsidR="00DF5C86" w:rsidRPr="003D79B5" w:rsidRDefault="00DF5C86" w:rsidP="008A0F79">
            <w:pPr>
              <w:ind w:left="34"/>
              <w:rPr>
                <w:rFonts w:ascii="Aptos" w:hAnsi="Aptos" w:cs="Arial"/>
                <w:lang w:val="ro-RO"/>
              </w:rPr>
            </w:pPr>
            <w:r w:rsidRPr="003D79B5">
              <w:rPr>
                <w:rFonts w:ascii="Aptos" w:hAnsi="Aptos" w:cs="Arial"/>
                <w:lang w:val="ro-RO"/>
              </w:rPr>
              <w:t>2.2. Titularul activităţilor de curs</w:t>
            </w:r>
            <w:r w:rsidR="00561B0C" w:rsidRPr="003D79B5">
              <w:rPr>
                <w:rFonts w:ascii="Aptos" w:hAnsi="Aptos" w:cs="Arial"/>
                <w:lang w:val="ro-RO"/>
              </w:rPr>
              <w:t xml:space="preserve"> – Coordonatorul de disciplină</w:t>
            </w:r>
          </w:p>
        </w:tc>
        <w:tc>
          <w:tcPr>
            <w:tcW w:w="5402" w:type="dxa"/>
            <w:gridSpan w:val="7"/>
            <w:vAlign w:val="center"/>
          </w:tcPr>
          <w:p w14:paraId="054CCA46" w14:textId="77777777" w:rsidR="00DF5C86" w:rsidRPr="003D79B5" w:rsidRDefault="00B95C51" w:rsidP="008A0F79">
            <w:pPr>
              <w:rPr>
                <w:rFonts w:ascii="Aptos" w:hAnsi="Aptos" w:cs="Arial"/>
                <w:b/>
                <w:lang w:val="ro-RO"/>
              </w:rPr>
            </w:pPr>
            <w:r w:rsidRPr="003D79B5">
              <w:rPr>
                <w:rFonts w:ascii="Aptos" w:hAnsi="Aptos" w:cs="Arial"/>
                <w:b/>
              </w:rPr>
              <w:t>Conf. univ. dr. Cosmin Flavius Costaș</w:t>
            </w:r>
          </w:p>
        </w:tc>
      </w:tr>
      <w:tr w:rsidR="00DF5C86" w:rsidRPr="003D79B5" w14:paraId="281D1AFB" w14:textId="77777777" w:rsidTr="00A6083F">
        <w:tc>
          <w:tcPr>
            <w:tcW w:w="4498" w:type="dxa"/>
            <w:gridSpan w:val="6"/>
          </w:tcPr>
          <w:p w14:paraId="726DF3DE" w14:textId="77777777" w:rsidR="00DF5C86" w:rsidRPr="003D79B5" w:rsidRDefault="00DF5C86" w:rsidP="003A2D65">
            <w:pPr>
              <w:ind w:left="34"/>
              <w:rPr>
                <w:rFonts w:ascii="Aptos" w:hAnsi="Aptos" w:cs="Arial"/>
                <w:lang w:val="ro-RO"/>
              </w:rPr>
            </w:pPr>
            <w:r w:rsidRPr="003D79B5">
              <w:rPr>
                <w:rFonts w:ascii="Aptos" w:hAnsi="Aptos" w:cs="Arial"/>
                <w:lang w:val="ro-RO"/>
              </w:rPr>
              <w:t xml:space="preserve">2.3. Titularul activităţilor de seminar/ laborator/ proiect </w:t>
            </w:r>
            <w:r w:rsidR="003A2D65" w:rsidRPr="003D79B5">
              <w:rPr>
                <w:rFonts w:ascii="Aptos" w:hAnsi="Aptos" w:cs="Arial"/>
                <w:lang w:val="ro-RO"/>
              </w:rPr>
              <w:t>– tutorele</w:t>
            </w:r>
          </w:p>
        </w:tc>
        <w:tc>
          <w:tcPr>
            <w:tcW w:w="5402" w:type="dxa"/>
            <w:gridSpan w:val="7"/>
          </w:tcPr>
          <w:p w14:paraId="7F3179DD" w14:textId="31CB6802" w:rsidR="003A2D65" w:rsidRPr="003D79B5" w:rsidRDefault="00610742" w:rsidP="00A6083F">
            <w:pPr>
              <w:rPr>
                <w:rFonts w:ascii="Aptos" w:hAnsi="Aptos" w:cs="Arial"/>
                <w:lang w:val="ro-RO"/>
              </w:rPr>
            </w:pPr>
            <w:r w:rsidRPr="003D79B5">
              <w:rPr>
                <w:rFonts w:ascii="Aptos" w:hAnsi="Aptos" w:cs="Arial"/>
                <w:b/>
              </w:rPr>
              <w:t>Conf. univ. dr. Cosmin Flavius Costaș</w:t>
            </w:r>
          </w:p>
        </w:tc>
      </w:tr>
      <w:tr w:rsidR="00DF5C86" w:rsidRPr="003D79B5" w14:paraId="5C54B8A3" w14:textId="77777777" w:rsidTr="000021BC">
        <w:trPr>
          <w:trHeight w:val="345"/>
        </w:trPr>
        <w:tc>
          <w:tcPr>
            <w:tcW w:w="1447" w:type="dxa"/>
            <w:vMerge w:val="restart"/>
          </w:tcPr>
          <w:p w14:paraId="7FA0E739" w14:textId="77777777" w:rsidR="00DF5C86" w:rsidRPr="003D79B5" w:rsidRDefault="00DF5C86" w:rsidP="00A6083F">
            <w:pPr>
              <w:ind w:left="34"/>
              <w:rPr>
                <w:rFonts w:ascii="Aptos" w:hAnsi="Aptos" w:cs="Arial"/>
                <w:lang w:val="ro-RO"/>
              </w:rPr>
            </w:pPr>
            <w:r w:rsidRPr="003D79B5">
              <w:rPr>
                <w:rFonts w:ascii="Aptos" w:hAnsi="Aptos" w:cs="Arial"/>
                <w:lang w:val="ro-RO"/>
              </w:rPr>
              <w:t>2.4. Anul de studiu</w:t>
            </w:r>
          </w:p>
        </w:tc>
        <w:tc>
          <w:tcPr>
            <w:tcW w:w="708" w:type="dxa"/>
            <w:vMerge w:val="restart"/>
            <w:vAlign w:val="center"/>
          </w:tcPr>
          <w:p w14:paraId="5AD35FF4" w14:textId="304A507E" w:rsidR="00DF5C86" w:rsidRPr="003D79B5" w:rsidRDefault="003A2D65" w:rsidP="00A6083F">
            <w:pPr>
              <w:jc w:val="center"/>
              <w:rPr>
                <w:rFonts w:ascii="Aptos" w:hAnsi="Aptos" w:cs="Arial"/>
                <w:b/>
                <w:color w:val="FF0000"/>
                <w:lang w:val="ro-RO"/>
              </w:rPr>
            </w:pPr>
            <w:r w:rsidRPr="003D79B5">
              <w:rPr>
                <w:rFonts w:ascii="Aptos" w:hAnsi="Aptos" w:cs="Arial"/>
                <w:b/>
                <w:lang w:val="ro-RO"/>
              </w:rPr>
              <w:t>I</w:t>
            </w:r>
            <w:r w:rsidR="007A11FB" w:rsidRPr="003D79B5">
              <w:rPr>
                <w:rFonts w:ascii="Aptos" w:hAnsi="Aptos" w:cs="Arial"/>
                <w:b/>
                <w:lang w:val="ro-RO"/>
              </w:rPr>
              <w:t>I</w:t>
            </w:r>
          </w:p>
        </w:tc>
        <w:tc>
          <w:tcPr>
            <w:tcW w:w="1276" w:type="dxa"/>
            <w:gridSpan w:val="2"/>
            <w:vMerge w:val="restart"/>
          </w:tcPr>
          <w:p w14:paraId="7A15035B" w14:textId="77777777" w:rsidR="00DF5C86" w:rsidRPr="003D79B5" w:rsidRDefault="00DF5C86" w:rsidP="00A6083F">
            <w:pPr>
              <w:ind w:right="-203"/>
              <w:rPr>
                <w:rFonts w:ascii="Aptos" w:hAnsi="Aptos" w:cs="Arial"/>
                <w:lang w:val="ro-RO"/>
              </w:rPr>
            </w:pPr>
            <w:r w:rsidRPr="003D79B5">
              <w:rPr>
                <w:rFonts w:ascii="Aptos" w:hAnsi="Aptos" w:cs="Arial"/>
                <w:lang w:val="ro-RO"/>
              </w:rPr>
              <w:t>2.5. Semestrul</w:t>
            </w:r>
          </w:p>
        </w:tc>
        <w:tc>
          <w:tcPr>
            <w:tcW w:w="567" w:type="dxa"/>
            <w:vMerge w:val="restart"/>
            <w:vAlign w:val="center"/>
          </w:tcPr>
          <w:p w14:paraId="132EB398" w14:textId="2DFEB057" w:rsidR="00DF5C86" w:rsidRPr="003D79B5" w:rsidRDefault="003A2D65" w:rsidP="00A6083F">
            <w:pPr>
              <w:jc w:val="center"/>
              <w:rPr>
                <w:rFonts w:ascii="Aptos" w:hAnsi="Aptos" w:cs="Arial"/>
                <w:b/>
                <w:color w:val="FF0000"/>
                <w:lang w:val="ro-RO"/>
              </w:rPr>
            </w:pPr>
            <w:r w:rsidRPr="003D79B5">
              <w:rPr>
                <w:rFonts w:ascii="Aptos" w:hAnsi="Aptos" w:cs="Arial"/>
                <w:b/>
                <w:lang w:val="ro-RO"/>
              </w:rPr>
              <w:t>I</w:t>
            </w:r>
            <w:r w:rsidR="00C44A40" w:rsidRPr="003D79B5">
              <w:rPr>
                <w:rFonts w:ascii="Aptos" w:hAnsi="Aptos" w:cs="Arial"/>
                <w:b/>
                <w:lang w:val="ro-RO"/>
              </w:rPr>
              <w:t>I</w:t>
            </w:r>
          </w:p>
        </w:tc>
        <w:tc>
          <w:tcPr>
            <w:tcW w:w="1418" w:type="dxa"/>
            <w:gridSpan w:val="2"/>
            <w:vMerge w:val="restart"/>
          </w:tcPr>
          <w:p w14:paraId="01AC99AD" w14:textId="77777777" w:rsidR="00D33282" w:rsidRPr="003D79B5" w:rsidRDefault="00DF5C86" w:rsidP="00A6083F">
            <w:pPr>
              <w:ind w:right="-288"/>
              <w:rPr>
                <w:rFonts w:ascii="Aptos" w:hAnsi="Aptos" w:cs="Arial"/>
                <w:lang w:val="ro-RO"/>
              </w:rPr>
            </w:pPr>
            <w:r w:rsidRPr="003D79B5">
              <w:rPr>
                <w:rFonts w:ascii="Aptos" w:hAnsi="Aptos" w:cs="Arial"/>
                <w:lang w:val="ro-RO"/>
              </w:rPr>
              <w:t xml:space="preserve">2.6. Tipul </w:t>
            </w:r>
          </w:p>
          <w:p w14:paraId="559031F3" w14:textId="77777777" w:rsidR="00DF5C86" w:rsidRPr="003D79B5" w:rsidRDefault="00DF5C86" w:rsidP="00A6083F">
            <w:pPr>
              <w:ind w:right="-288"/>
              <w:rPr>
                <w:rFonts w:ascii="Aptos" w:hAnsi="Aptos" w:cs="Arial"/>
                <w:lang w:val="ro-RO"/>
              </w:rPr>
            </w:pPr>
            <w:r w:rsidRPr="003D79B5">
              <w:rPr>
                <w:rFonts w:ascii="Aptos" w:hAnsi="Aptos" w:cs="Arial"/>
                <w:lang w:val="ro-RO"/>
              </w:rPr>
              <w:t>de evaluare</w:t>
            </w:r>
          </w:p>
        </w:tc>
        <w:tc>
          <w:tcPr>
            <w:tcW w:w="1134" w:type="dxa"/>
            <w:vMerge w:val="restart"/>
            <w:vAlign w:val="center"/>
          </w:tcPr>
          <w:p w14:paraId="17D928A6" w14:textId="77777777" w:rsidR="00DF5C86" w:rsidRPr="003D79B5" w:rsidRDefault="007A11FB" w:rsidP="000021BC">
            <w:pPr>
              <w:jc w:val="center"/>
              <w:rPr>
                <w:rFonts w:ascii="Aptos" w:hAnsi="Aptos" w:cs="Arial"/>
                <w:b/>
                <w:color w:val="FF0000"/>
                <w:lang w:val="ro-RO"/>
              </w:rPr>
            </w:pPr>
            <w:r w:rsidRPr="003D79B5">
              <w:rPr>
                <w:rFonts w:ascii="Aptos" w:hAnsi="Aptos" w:cs="Arial"/>
                <w:b/>
                <w:lang w:val="ro-RO"/>
              </w:rPr>
              <w:t>Examen</w:t>
            </w:r>
          </w:p>
        </w:tc>
        <w:tc>
          <w:tcPr>
            <w:tcW w:w="1275" w:type="dxa"/>
            <w:gridSpan w:val="2"/>
            <w:vMerge w:val="restart"/>
          </w:tcPr>
          <w:p w14:paraId="00F92BF8" w14:textId="77777777" w:rsidR="00DF5C86" w:rsidRPr="003D79B5" w:rsidRDefault="00DF5C86" w:rsidP="00A6083F">
            <w:pPr>
              <w:rPr>
                <w:rFonts w:ascii="Aptos" w:hAnsi="Aptos" w:cs="Arial"/>
                <w:vertAlign w:val="superscript"/>
                <w:lang w:val="ro-RO"/>
              </w:rPr>
            </w:pPr>
            <w:r w:rsidRPr="003D79B5">
              <w:rPr>
                <w:rFonts w:ascii="Aptos" w:hAnsi="Aptos" w:cs="Arial"/>
                <w:lang w:val="ro-RO"/>
              </w:rPr>
              <w:t>2.7. Regimul disciplinei</w:t>
            </w:r>
          </w:p>
        </w:tc>
        <w:tc>
          <w:tcPr>
            <w:tcW w:w="1276" w:type="dxa"/>
            <w:gridSpan w:val="2"/>
          </w:tcPr>
          <w:p w14:paraId="72187D64" w14:textId="77777777" w:rsidR="00DF5C86" w:rsidRPr="003D79B5" w:rsidRDefault="00DF5C86" w:rsidP="00A6083F">
            <w:pPr>
              <w:rPr>
                <w:rFonts w:ascii="Aptos" w:hAnsi="Aptos" w:cs="Arial"/>
                <w:vertAlign w:val="superscript"/>
                <w:lang w:val="ro-RO"/>
              </w:rPr>
            </w:pPr>
            <w:r w:rsidRPr="003D79B5">
              <w:rPr>
                <w:rFonts w:ascii="Aptos" w:hAnsi="Aptos" w:cs="Arial"/>
                <w:lang w:val="ro-RO"/>
              </w:rPr>
              <w:t>Conţinut</w:t>
            </w:r>
          </w:p>
        </w:tc>
        <w:tc>
          <w:tcPr>
            <w:tcW w:w="799" w:type="dxa"/>
          </w:tcPr>
          <w:p w14:paraId="308F5D4A" w14:textId="77777777" w:rsidR="00DF5C86" w:rsidRPr="003D79B5" w:rsidRDefault="0072360F" w:rsidP="00A6083F">
            <w:pPr>
              <w:rPr>
                <w:rFonts w:ascii="Aptos" w:hAnsi="Aptos" w:cs="Arial"/>
                <w:lang w:val="ro-RO"/>
              </w:rPr>
            </w:pPr>
            <w:r w:rsidRPr="003D79B5">
              <w:rPr>
                <w:rFonts w:ascii="Aptos" w:hAnsi="Aptos" w:cs="Arial"/>
                <w:lang w:val="ro-RO"/>
              </w:rPr>
              <w:t>Felul disciplinei</w:t>
            </w:r>
          </w:p>
          <w:p w14:paraId="06FABDEC" w14:textId="77777777" w:rsidR="0072360F" w:rsidRPr="003D79B5" w:rsidRDefault="003A2D65" w:rsidP="00A6083F">
            <w:pPr>
              <w:rPr>
                <w:rFonts w:ascii="Aptos" w:hAnsi="Aptos" w:cs="Arial"/>
                <w:b/>
                <w:lang w:val="ro-RO"/>
              </w:rPr>
            </w:pPr>
            <w:r w:rsidRPr="003D79B5">
              <w:rPr>
                <w:rFonts w:ascii="Aptos" w:hAnsi="Aptos" w:cs="Arial"/>
                <w:b/>
                <w:lang w:val="ro-RO"/>
              </w:rPr>
              <w:t>D</w:t>
            </w:r>
            <w:r w:rsidR="007A11FB" w:rsidRPr="003D79B5">
              <w:rPr>
                <w:rFonts w:ascii="Aptos" w:hAnsi="Aptos" w:cs="Arial"/>
                <w:b/>
                <w:lang w:val="ro-RO"/>
              </w:rPr>
              <w:t>S</w:t>
            </w:r>
          </w:p>
        </w:tc>
      </w:tr>
      <w:tr w:rsidR="00DF5C86" w:rsidRPr="003D79B5" w14:paraId="0C3B4817" w14:textId="77777777" w:rsidTr="000021BC">
        <w:trPr>
          <w:trHeight w:val="345"/>
        </w:trPr>
        <w:tc>
          <w:tcPr>
            <w:tcW w:w="1447" w:type="dxa"/>
            <w:vMerge/>
          </w:tcPr>
          <w:p w14:paraId="393C1E01" w14:textId="77777777" w:rsidR="00DF5C86" w:rsidRPr="003D79B5" w:rsidRDefault="00DF5C86" w:rsidP="00A6083F">
            <w:pPr>
              <w:ind w:left="318"/>
              <w:rPr>
                <w:rFonts w:ascii="Aptos" w:hAnsi="Aptos" w:cs="Arial"/>
                <w:lang w:val="ro-RO"/>
              </w:rPr>
            </w:pPr>
          </w:p>
        </w:tc>
        <w:tc>
          <w:tcPr>
            <w:tcW w:w="708" w:type="dxa"/>
            <w:vMerge/>
          </w:tcPr>
          <w:p w14:paraId="5257EF91" w14:textId="77777777" w:rsidR="00DF5C86" w:rsidRPr="003D79B5" w:rsidRDefault="00DF5C86" w:rsidP="00A6083F">
            <w:pPr>
              <w:rPr>
                <w:rFonts w:ascii="Aptos" w:hAnsi="Aptos" w:cs="Arial"/>
                <w:lang w:val="ro-RO"/>
              </w:rPr>
            </w:pPr>
          </w:p>
        </w:tc>
        <w:tc>
          <w:tcPr>
            <w:tcW w:w="1276" w:type="dxa"/>
            <w:gridSpan w:val="2"/>
            <w:vMerge/>
          </w:tcPr>
          <w:p w14:paraId="128E7A66" w14:textId="77777777" w:rsidR="00DF5C86" w:rsidRPr="003D79B5" w:rsidRDefault="00DF5C86" w:rsidP="00A6083F">
            <w:pPr>
              <w:rPr>
                <w:rFonts w:ascii="Aptos" w:hAnsi="Aptos" w:cs="Arial"/>
                <w:lang w:val="ro-RO"/>
              </w:rPr>
            </w:pPr>
          </w:p>
        </w:tc>
        <w:tc>
          <w:tcPr>
            <w:tcW w:w="567" w:type="dxa"/>
            <w:vMerge/>
          </w:tcPr>
          <w:p w14:paraId="7EFA6408" w14:textId="77777777" w:rsidR="00DF5C86" w:rsidRPr="003D79B5" w:rsidRDefault="00DF5C86" w:rsidP="00A6083F">
            <w:pPr>
              <w:rPr>
                <w:rFonts w:ascii="Aptos" w:hAnsi="Aptos" w:cs="Arial"/>
                <w:lang w:val="ro-RO"/>
              </w:rPr>
            </w:pPr>
          </w:p>
        </w:tc>
        <w:tc>
          <w:tcPr>
            <w:tcW w:w="1418" w:type="dxa"/>
            <w:gridSpan w:val="2"/>
            <w:vMerge/>
          </w:tcPr>
          <w:p w14:paraId="66DC83F6" w14:textId="77777777" w:rsidR="00DF5C86" w:rsidRPr="003D79B5" w:rsidRDefault="00DF5C86" w:rsidP="00A6083F">
            <w:pPr>
              <w:rPr>
                <w:rFonts w:ascii="Aptos" w:hAnsi="Aptos" w:cs="Arial"/>
                <w:lang w:val="ro-RO"/>
              </w:rPr>
            </w:pPr>
          </w:p>
        </w:tc>
        <w:tc>
          <w:tcPr>
            <w:tcW w:w="1134" w:type="dxa"/>
            <w:vMerge/>
          </w:tcPr>
          <w:p w14:paraId="34BF545A" w14:textId="77777777" w:rsidR="00DF5C86" w:rsidRPr="003D79B5" w:rsidRDefault="00DF5C86" w:rsidP="00A6083F">
            <w:pPr>
              <w:rPr>
                <w:rFonts w:ascii="Aptos" w:hAnsi="Aptos" w:cs="Arial"/>
                <w:lang w:val="ro-RO"/>
              </w:rPr>
            </w:pPr>
          </w:p>
        </w:tc>
        <w:tc>
          <w:tcPr>
            <w:tcW w:w="1275" w:type="dxa"/>
            <w:gridSpan w:val="2"/>
            <w:vMerge/>
          </w:tcPr>
          <w:p w14:paraId="2B13CE53" w14:textId="77777777" w:rsidR="00DF5C86" w:rsidRPr="003D79B5" w:rsidRDefault="00DF5C86" w:rsidP="00A6083F">
            <w:pPr>
              <w:rPr>
                <w:rFonts w:ascii="Aptos" w:hAnsi="Aptos" w:cs="Arial"/>
                <w:lang w:val="ro-RO"/>
              </w:rPr>
            </w:pPr>
          </w:p>
        </w:tc>
        <w:tc>
          <w:tcPr>
            <w:tcW w:w="1276" w:type="dxa"/>
            <w:gridSpan w:val="2"/>
          </w:tcPr>
          <w:p w14:paraId="31DF0086" w14:textId="77777777" w:rsidR="00DF5C86" w:rsidRPr="003D79B5" w:rsidRDefault="00DF5C86" w:rsidP="00A6083F">
            <w:pPr>
              <w:rPr>
                <w:rFonts w:ascii="Aptos" w:hAnsi="Aptos" w:cs="Arial"/>
                <w:vertAlign w:val="superscript"/>
                <w:lang w:val="ro-RO"/>
              </w:rPr>
            </w:pPr>
            <w:r w:rsidRPr="003D79B5">
              <w:rPr>
                <w:rFonts w:ascii="Aptos" w:hAnsi="Aptos" w:cs="Arial"/>
                <w:lang w:val="ro-RO"/>
              </w:rPr>
              <w:t>Obligativitate</w:t>
            </w:r>
          </w:p>
        </w:tc>
        <w:tc>
          <w:tcPr>
            <w:tcW w:w="799" w:type="dxa"/>
          </w:tcPr>
          <w:p w14:paraId="5323DB43" w14:textId="77777777" w:rsidR="00C5388F" w:rsidRPr="003D79B5" w:rsidRDefault="0072360F" w:rsidP="00A6083F">
            <w:pPr>
              <w:rPr>
                <w:rFonts w:ascii="Aptos" w:hAnsi="Aptos" w:cs="Arial"/>
                <w:lang w:val="ro-RO"/>
              </w:rPr>
            </w:pPr>
            <w:r w:rsidRPr="003D79B5">
              <w:rPr>
                <w:rFonts w:ascii="Aptos" w:hAnsi="Aptos" w:cs="Arial"/>
                <w:lang w:val="ro-RO"/>
              </w:rPr>
              <w:t>Obligatorie/</w:t>
            </w:r>
          </w:p>
          <w:p w14:paraId="219F773A" w14:textId="77777777" w:rsidR="00DF5C86" w:rsidRPr="003D79B5" w:rsidRDefault="00C5388F" w:rsidP="00A6083F">
            <w:pPr>
              <w:rPr>
                <w:rFonts w:ascii="Aptos" w:hAnsi="Aptos" w:cs="Arial"/>
                <w:lang w:val="ro-RO"/>
              </w:rPr>
            </w:pPr>
            <w:r w:rsidRPr="003D79B5">
              <w:rPr>
                <w:rFonts w:ascii="Aptos" w:hAnsi="Aptos" w:cs="Arial"/>
                <w:lang w:val="ro-RO"/>
              </w:rPr>
              <w:t>opțională</w:t>
            </w:r>
          </w:p>
          <w:p w14:paraId="7DADB665" w14:textId="76EAEB0F" w:rsidR="0072360F" w:rsidRPr="003D79B5" w:rsidRDefault="003A2D65" w:rsidP="003A2D65">
            <w:pPr>
              <w:rPr>
                <w:rFonts w:ascii="Aptos" w:hAnsi="Aptos" w:cs="Arial"/>
                <w:b/>
                <w:lang w:val="ro-RO"/>
              </w:rPr>
            </w:pPr>
            <w:r w:rsidRPr="003D79B5">
              <w:rPr>
                <w:rFonts w:ascii="Aptos" w:hAnsi="Aptos" w:cs="Arial"/>
                <w:b/>
                <w:lang w:val="ro-RO"/>
              </w:rPr>
              <w:t>D</w:t>
            </w:r>
            <w:r w:rsidR="0067532B" w:rsidRPr="003D79B5">
              <w:rPr>
                <w:rFonts w:ascii="Aptos" w:hAnsi="Aptos" w:cs="Arial"/>
                <w:b/>
                <w:lang w:val="ro-RO"/>
              </w:rPr>
              <w:t>A</w:t>
            </w:r>
          </w:p>
        </w:tc>
      </w:tr>
    </w:tbl>
    <w:p w14:paraId="59495686" w14:textId="77777777" w:rsidR="00DF5C86" w:rsidRPr="003D79B5" w:rsidRDefault="00DF5C86" w:rsidP="00DF5C86">
      <w:pPr>
        <w:pStyle w:val="BodyText2"/>
        <w:jc w:val="left"/>
        <w:rPr>
          <w:rFonts w:ascii="Aptos" w:hAnsi="Aptos" w:cs="Arial"/>
          <w:b/>
          <w:sz w:val="20"/>
        </w:rPr>
      </w:pPr>
    </w:p>
    <w:p w14:paraId="6D89270C" w14:textId="703D7F13" w:rsidR="00DF5C86" w:rsidRPr="003D79B5" w:rsidRDefault="00DF5C86" w:rsidP="00DF5C86">
      <w:pPr>
        <w:pStyle w:val="BodyText2"/>
        <w:jc w:val="left"/>
        <w:rPr>
          <w:rFonts w:ascii="Aptos" w:hAnsi="Aptos" w:cs="Arial"/>
          <w:sz w:val="20"/>
        </w:rPr>
      </w:pPr>
      <w:r w:rsidRPr="003D79B5">
        <w:rPr>
          <w:rFonts w:ascii="Aptos" w:hAnsi="Aptos" w:cs="Arial"/>
          <w:b/>
          <w:sz w:val="20"/>
        </w:rPr>
        <w:t>3. Timpul</w:t>
      </w:r>
      <w:r w:rsidR="00BE56C3" w:rsidRPr="003D79B5">
        <w:rPr>
          <w:rFonts w:ascii="Aptos" w:hAnsi="Aptos" w:cs="Arial"/>
          <w:b/>
          <w:sz w:val="20"/>
        </w:rPr>
        <w:t xml:space="preserve"> </w:t>
      </w:r>
      <w:r w:rsidRPr="003D79B5">
        <w:rPr>
          <w:rFonts w:ascii="Aptos" w:hAnsi="Aptos" w:cs="Arial"/>
          <w:b/>
          <w:sz w:val="20"/>
        </w:rPr>
        <w:t xml:space="preserve">total estimat </w:t>
      </w:r>
      <w:r w:rsidRPr="003D79B5">
        <w:rPr>
          <w:rFonts w:ascii="Aptos" w:hAnsi="Aptos" w:cs="Arial"/>
          <w:sz w:val="20"/>
        </w:rPr>
        <w:t>(ore pe semestru al activităţilor didactice)</w:t>
      </w:r>
    </w:p>
    <w:p w14:paraId="0240ED33" w14:textId="77777777" w:rsidR="001349C9" w:rsidRPr="003D79B5" w:rsidRDefault="001349C9" w:rsidP="00DF5C86">
      <w:pPr>
        <w:pStyle w:val="BodyText2"/>
        <w:jc w:val="left"/>
        <w:rPr>
          <w:rFonts w:ascii="Aptos" w:hAnsi="Aptos" w:cs="Arial"/>
          <w:b/>
          <w:sz w:val="20"/>
        </w:rPr>
      </w:pP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67"/>
        <w:gridCol w:w="1701"/>
        <w:gridCol w:w="850"/>
        <w:gridCol w:w="2986"/>
        <w:gridCol w:w="540"/>
      </w:tblGrid>
      <w:tr w:rsidR="00DF5C86" w:rsidRPr="003D79B5" w14:paraId="1B5BD2D7" w14:textId="77777777" w:rsidTr="00F65419">
        <w:trPr>
          <w:trHeight w:val="248"/>
        </w:trPr>
        <w:tc>
          <w:tcPr>
            <w:tcW w:w="3256" w:type="dxa"/>
            <w:tcBorders>
              <w:bottom w:val="single" w:sz="4" w:space="0" w:color="auto"/>
            </w:tcBorders>
            <w:vAlign w:val="center"/>
          </w:tcPr>
          <w:p w14:paraId="41ABE56E" w14:textId="77777777" w:rsidR="00DF5C86" w:rsidRPr="003D79B5" w:rsidRDefault="00DF5C86" w:rsidP="00A6083F">
            <w:pPr>
              <w:pStyle w:val="Heading2"/>
              <w:numPr>
                <w:ilvl w:val="0"/>
                <w:numId w:val="0"/>
              </w:numPr>
              <w:rPr>
                <w:rFonts w:ascii="Aptos" w:hAnsi="Aptos" w:cs="Arial"/>
                <w:b w:val="0"/>
                <w:sz w:val="20"/>
              </w:rPr>
            </w:pPr>
            <w:r w:rsidRPr="003D79B5">
              <w:rPr>
                <w:rFonts w:ascii="Aptos" w:hAnsi="Aptos" w:cs="Arial"/>
                <w:b w:val="0"/>
                <w:sz w:val="20"/>
              </w:rPr>
              <w:t>3.1. Număr de ore pe săptămână – forma cu frecvenţă</w:t>
            </w:r>
          </w:p>
        </w:tc>
        <w:tc>
          <w:tcPr>
            <w:tcW w:w="567" w:type="dxa"/>
            <w:tcBorders>
              <w:bottom w:val="single" w:sz="4" w:space="0" w:color="auto"/>
            </w:tcBorders>
            <w:vAlign w:val="center"/>
          </w:tcPr>
          <w:p w14:paraId="7A8D805A" w14:textId="546310C7" w:rsidR="00DF5C86" w:rsidRPr="003D79B5" w:rsidRDefault="0067532B" w:rsidP="00A6083F">
            <w:pPr>
              <w:jc w:val="center"/>
              <w:rPr>
                <w:rFonts w:ascii="Aptos" w:hAnsi="Aptos" w:cs="Arial"/>
                <w:b/>
                <w:lang w:val="ro-RO"/>
              </w:rPr>
            </w:pPr>
            <w:r w:rsidRPr="003D79B5">
              <w:rPr>
                <w:rFonts w:ascii="Aptos" w:hAnsi="Aptos" w:cs="Arial"/>
                <w:b/>
                <w:lang w:val="ro-RO"/>
              </w:rPr>
              <w:t>3</w:t>
            </w:r>
          </w:p>
        </w:tc>
        <w:tc>
          <w:tcPr>
            <w:tcW w:w="1701" w:type="dxa"/>
            <w:tcBorders>
              <w:bottom w:val="single" w:sz="4" w:space="0" w:color="auto"/>
            </w:tcBorders>
            <w:vAlign w:val="center"/>
          </w:tcPr>
          <w:p w14:paraId="21820345" w14:textId="77777777" w:rsidR="00DF5C86" w:rsidRPr="003D79B5" w:rsidRDefault="00DF5C86" w:rsidP="00A6083F">
            <w:pPr>
              <w:rPr>
                <w:rFonts w:ascii="Aptos" w:hAnsi="Aptos" w:cs="Arial"/>
                <w:lang w:val="ro-RO"/>
              </w:rPr>
            </w:pPr>
            <w:r w:rsidRPr="003D79B5">
              <w:rPr>
                <w:rFonts w:ascii="Aptos" w:hAnsi="Aptos" w:cs="Arial"/>
                <w:lang w:val="ro-RO"/>
              </w:rPr>
              <w:t>din care: 3.2. curs</w:t>
            </w:r>
          </w:p>
        </w:tc>
        <w:tc>
          <w:tcPr>
            <w:tcW w:w="850" w:type="dxa"/>
            <w:tcBorders>
              <w:bottom w:val="single" w:sz="4" w:space="0" w:color="auto"/>
            </w:tcBorders>
            <w:vAlign w:val="center"/>
          </w:tcPr>
          <w:p w14:paraId="13C42A3D" w14:textId="2621B9F6" w:rsidR="00DF5C86" w:rsidRPr="003D79B5" w:rsidRDefault="0067532B" w:rsidP="00A6083F">
            <w:pPr>
              <w:jc w:val="center"/>
              <w:rPr>
                <w:rFonts w:ascii="Aptos" w:hAnsi="Aptos" w:cs="Arial"/>
                <w:b/>
                <w:lang w:val="ro-RO"/>
              </w:rPr>
            </w:pPr>
            <w:r w:rsidRPr="003D79B5">
              <w:rPr>
                <w:rFonts w:ascii="Aptos" w:hAnsi="Aptos" w:cs="Arial"/>
                <w:b/>
                <w:lang w:val="ro-RO"/>
              </w:rPr>
              <w:t>2</w:t>
            </w:r>
          </w:p>
        </w:tc>
        <w:tc>
          <w:tcPr>
            <w:tcW w:w="2986" w:type="dxa"/>
            <w:tcBorders>
              <w:bottom w:val="single" w:sz="4" w:space="0" w:color="auto"/>
            </w:tcBorders>
            <w:vAlign w:val="center"/>
          </w:tcPr>
          <w:p w14:paraId="6795142A" w14:textId="77777777" w:rsidR="00DF5C86" w:rsidRPr="003D79B5" w:rsidRDefault="00DF5C86" w:rsidP="00A6083F">
            <w:pPr>
              <w:rPr>
                <w:rFonts w:ascii="Aptos" w:hAnsi="Aptos" w:cs="Arial"/>
                <w:lang w:val="ro-RO"/>
              </w:rPr>
            </w:pPr>
            <w:r w:rsidRPr="003D79B5">
              <w:rPr>
                <w:rFonts w:ascii="Aptos" w:hAnsi="Aptos" w:cs="Arial"/>
                <w:lang w:val="ro-RO"/>
              </w:rPr>
              <w:t>3.3. seminar/ laborator/ proiect</w:t>
            </w:r>
          </w:p>
        </w:tc>
        <w:tc>
          <w:tcPr>
            <w:tcW w:w="540" w:type="dxa"/>
            <w:tcBorders>
              <w:bottom w:val="single" w:sz="4" w:space="0" w:color="auto"/>
            </w:tcBorders>
            <w:vAlign w:val="center"/>
          </w:tcPr>
          <w:p w14:paraId="5D337D53" w14:textId="38861423" w:rsidR="00DF5C86" w:rsidRPr="003D79B5" w:rsidRDefault="0067532B" w:rsidP="00A6083F">
            <w:pPr>
              <w:jc w:val="center"/>
              <w:rPr>
                <w:rFonts w:ascii="Aptos" w:hAnsi="Aptos" w:cs="Arial"/>
                <w:b/>
                <w:lang w:val="ro-RO"/>
              </w:rPr>
            </w:pPr>
            <w:r w:rsidRPr="003D79B5">
              <w:rPr>
                <w:rFonts w:ascii="Aptos" w:hAnsi="Aptos" w:cs="Arial"/>
                <w:b/>
                <w:lang w:val="ro-RO"/>
              </w:rPr>
              <w:t>1</w:t>
            </w:r>
          </w:p>
        </w:tc>
      </w:tr>
      <w:tr w:rsidR="00DF5C86" w:rsidRPr="003D79B5" w14:paraId="7044263E" w14:textId="77777777" w:rsidTr="00F65419">
        <w:trPr>
          <w:trHeight w:val="247"/>
        </w:trPr>
        <w:tc>
          <w:tcPr>
            <w:tcW w:w="3256" w:type="dxa"/>
            <w:vAlign w:val="center"/>
          </w:tcPr>
          <w:p w14:paraId="2CB434FC" w14:textId="77777777" w:rsidR="00DF5C86" w:rsidRPr="003D79B5" w:rsidRDefault="00DF5C86" w:rsidP="00A6083F">
            <w:pPr>
              <w:pStyle w:val="Heading2"/>
              <w:numPr>
                <w:ilvl w:val="0"/>
                <w:numId w:val="0"/>
              </w:numPr>
              <w:rPr>
                <w:rFonts w:ascii="Aptos" w:hAnsi="Aptos" w:cs="Arial"/>
                <w:b w:val="0"/>
                <w:sz w:val="20"/>
              </w:rPr>
            </w:pPr>
            <w:r w:rsidRPr="003D79B5">
              <w:rPr>
                <w:rFonts w:ascii="Aptos" w:hAnsi="Aptos" w:cs="Arial"/>
                <w:b w:val="0"/>
                <w:sz w:val="20"/>
              </w:rPr>
              <w:t>3.4. Total ore pe semestru – forma</w:t>
            </w:r>
            <w:r w:rsidR="00BE56C3" w:rsidRPr="003D79B5">
              <w:rPr>
                <w:rFonts w:ascii="Aptos" w:hAnsi="Aptos" w:cs="Arial"/>
                <w:b w:val="0"/>
                <w:sz w:val="20"/>
              </w:rPr>
              <w:t xml:space="preserve"> </w:t>
            </w:r>
            <w:r w:rsidR="00635E78" w:rsidRPr="003D79B5">
              <w:rPr>
                <w:rFonts w:ascii="Aptos" w:hAnsi="Aptos" w:cs="Arial"/>
                <w:b w:val="0"/>
                <w:sz w:val="20"/>
              </w:rPr>
              <w:t>Învățământ la distanță</w:t>
            </w:r>
          </w:p>
        </w:tc>
        <w:tc>
          <w:tcPr>
            <w:tcW w:w="567" w:type="dxa"/>
            <w:vAlign w:val="center"/>
          </w:tcPr>
          <w:p w14:paraId="186167D7" w14:textId="5589294B" w:rsidR="00DF5C86" w:rsidRPr="003D79B5" w:rsidRDefault="00C641BC" w:rsidP="00BE56C3">
            <w:pPr>
              <w:jc w:val="center"/>
              <w:rPr>
                <w:rFonts w:ascii="Aptos" w:hAnsi="Aptos" w:cs="Arial"/>
                <w:b/>
                <w:lang w:val="ro-RO"/>
              </w:rPr>
            </w:pPr>
            <w:r w:rsidRPr="003D79B5">
              <w:rPr>
                <w:rFonts w:ascii="Aptos" w:hAnsi="Aptos" w:cs="Arial"/>
                <w:b/>
                <w:lang w:val="ro-RO"/>
              </w:rPr>
              <w:t>75</w:t>
            </w:r>
          </w:p>
        </w:tc>
        <w:tc>
          <w:tcPr>
            <w:tcW w:w="1701" w:type="dxa"/>
            <w:vAlign w:val="center"/>
          </w:tcPr>
          <w:p w14:paraId="6BD950BC" w14:textId="77777777" w:rsidR="00F65419" w:rsidRPr="003D79B5" w:rsidRDefault="00DF5C86" w:rsidP="00F65419">
            <w:pPr>
              <w:rPr>
                <w:rFonts w:ascii="Aptos" w:hAnsi="Aptos" w:cs="Arial"/>
                <w:lang w:val="ro-RO"/>
              </w:rPr>
            </w:pPr>
            <w:r w:rsidRPr="003D79B5">
              <w:rPr>
                <w:rFonts w:ascii="Aptos" w:hAnsi="Aptos" w:cs="Arial"/>
                <w:bCs/>
                <w:lang w:val="ro-RO"/>
              </w:rPr>
              <w:t>din care: 3.5.</w:t>
            </w:r>
            <w:r w:rsidR="002C53BC" w:rsidRPr="003D79B5">
              <w:rPr>
                <w:rFonts w:ascii="Aptos" w:hAnsi="Aptos" w:cs="Arial"/>
                <w:lang w:val="ro-RO"/>
              </w:rPr>
              <w:t>SI</w:t>
            </w:r>
          </w:p>
          <w:p w14:paraId="0AFB2DE4" w14:textId="77777777" w:rsidR="00F65419" w:rsidRPr="003D79B5" w:rsidRDefault="00F65419" w:rsidP="00F65419">
            <w:pPr>
              <w:rPr>
                <w:rFonts w:ascii="Aptos" w:hAnsi="Aptos" w:cs="Arial"/>
                <w:lang w:val="ro-RO"/>
              </w:rPr>
            </w:pPr>
            <w:r w:rsidRPr="003D79B5">
              <w:rPr>
                <w:rFonts w:ascii="Aptos" w:hAnsi="Aptos" w:cs="Arial"/>
                <w:lang w:val="ro-RO"/>
              </w:rPr>
              <w:t>(SI+Studiu Individual Suplimentar)</w:t>
            </w:r>
          </w:p>
        </w:tc>
        <w:tc>
          <w:tcPr>
            <w:tcW w:w="850" w:type="dxa"/>
            <w:vAlign w:val="center"/>
          </w:tcPr>
          <w:p w14:paraId="611C4564" w14:textId="211F65AD" w:rsidR="00DF5C86" w:rsidRPr="003D79B5" w:rsidRDefault="00C641BC" w:rsidP="005F3FCC">
            <w:pPr>
              <w:pStyle w:val="Heading2"/>
              <w:numPr>
                <w:ilvl w:val="0"/>
                <w:numId w:val="0"/>
              </w:numPr>
              <w:jc w:val="center"/>
              <w:rPr>
                <w:rFonts w:ascii="Aptos" w:hAnsi="Aptos" w:cs="Arial"/>
                <w:sz w:val="20"/>
                <w:vertAlign w:val="superscript"/>
              </w:rPr>
            </w:pPr>
            <w:r w:rsidRPr="003D79B5">
              <w:rPr>
                <w:rFonts w:ascii="Aptos" w:hAnsi="Aptos" w:cs="Arial"/>
                <w:sz w:val="20"/>
              </w:rPr>
              <w:t>28</w:t>
            </w:r>
            <w:r w:rsidR="00212AC1" w:rsidRPr="003D79B5">
              <w:rPr>
                <w:rFonts w:ascii="Aptos" w:hAnsi="Aptos" w:cs="Arial"/>
                <w:sz w:val="20"/>
              </w:rPr>
              <w:t>+</w:t>
            </w:r>
            <w:r w:rsidRPr="003D79B5">
              <w:rPr>
                <w:rFonts w:ascii="Aptos" w:hAnsi="Aptos" w:cs="Arial"/>
                <w:sz w:val="20"/>
              </w:rPr>
              <w:t>33</w:t>
            </w:r>
          </w:p>
        </w:tc>
        <w:tc>
          <w:tcPr>
            <w:tcW w:w="2986" w:type="dxa"/>
            <w:vAlign w:val="center"/>
          </w:tcPr>
          <w:p w14:paraId="149EE4B3" w14:textId="6FA3CBB2" w:rsidR="00DF5C86" w:rsidRPr="003D79B5" w:rsidRDefault="00DF5C86" w:rsidP="002C53BC">
            <w:pPr>
              <w:pStyle w:val="Heading2"/>
              <w:numPr>
                <w:ilvl w:val="0"/>
                <w:numId w:val="0"/>
              </w:numPr>
              <w:rPr>
                <w:rFonts w:ascii="Aptos" w:hAnsi="Aptos" w:cs="Arial"/>
                <w:b w:val="0"/>
                <w:sz w:val="20"/>
              </w:rPr>
            </w:pPr>
            <w:r w:rsidRPr="003D79B5">
              <w:rPr>
                <w:rFonts w:ascii="Aptos" w:hAnsi="Aptos" w:cs="Arial"/>
                <w:b w:val="0"/>
                <w:sz w:val="20"/>
              </w:rPr>
              <w:t>3.6.</w:t>
            </w:r>
            <w:r w:rsidRPr="003D79B5">
              <w:rPr>
                <w:rFonts w:ascii="Aptos" w:hAnsi="Aptos" w:cs="Arial"/>
                <w:b w:val="0"/>
                <w:bCs/>
                <w:sz w:val="20"/>
              </w:rPr>
              <w:t>AT</w:t>
            </w:r>
            <w:r w:rsidR="00AE18A2" w:rsidRPr="003D79B5">
              <w:rPr>
                <w:rFonts w:ascii="Aptos" w:hAnsi="Aptos" w:cs="Arial"/>
                <w:b w:val="0"/>
                <w:bCs/>
                <w:sz w:val="20"/>
              </w:rPr>
              <w:t xml:space="preserve"> (</w:t>
            </w:r>
            <w:r w:rsidR="0031471D" w:rsidRPr="003D79B5">
              <w:rPr>
                <w:rFonts w:ascii="Aptos" w:hAnsi="Aptos" w:cs="Arial"/>
                <w:bCs/>
                <w:sz w:val="20"/>
              </w:rPr>
              <w:t>4</w:t>
            </w:r>
            <w:r w:rsidR="00AE18A2" w:rsidRPr="003D79B5">
              <w:rPr>
                <w:rFonts w:ascii="Aptos" w:hAnsi="Aptos" w:cs="Arial"/>
                <w:b w:val="0"/>
                <w:bCs/>
                <w:sz w:val="20"/>
              </w:rPr>
              <w:t>)</w:t>
            </w:r>
            <w:r w:rsidRPr="003D79B5">
              <w:rPr>
                <w:rFonts w:ascii="Aptos" w:hAnsi="Aptos" w:cs="Arial"/>
                <w:b w:val="0"/>
                <w:bCs/>
                <w:sz w:val="20"/>
              </w:rPr>
              <w:t xml:space="preserve"> + TC</w:t>
            </w:r>
            <w:r w:rsidR="00AE18A2" w:rsidRPr="003D79B5">
              <w:rPr>
                <w:rFonts w:ascii="Aptos" w:hAnsi="Aptos" w:cs="Arial"/>
                <w:b w:val="0"/>
                <w:bCs/>
                <w:sz w:val="20"/>
              </w:rPr>
              <w:t xml:space="preserve"> (</w:t>
            </w:r>
            <w:r w:rsidR="0031471D" w:rsidRPr="003D79B5">
              <w:rPr>
                <w:rFonts w:ascii="Aptos" w:hAnsi="Aptos" w:cs="Arial"/>
                <w:bCs/>
                <w:sz w:val="20"/>
              </w:rPr>
              <w:t>10</w:t>
            </w:r>
            <w:r w:rsidR="00AE18A2" w:rsidRPr="003D79B5">
              <w:rPr>
                <w:rFonts w:ascii="Aptos" w:hAnsi="Aptos" w:cs="Arial"/>
                <w:b w:val="0"/>
                <w:bCs/>
                <w:sz w:val="20"/>
              </w:rPr>
              <w:t xml:space="preserve">) + </w:t>
            </w:r>
            <w:r w:rsidR="002C53BC" w:rsidRPr="003D79B5">
              <w:rPr>
                <w:rFonts w:ascii="Aptos" w:hAnsi="Aptos" w:cs="Arial"/>
                <w:b w:val="0"/>
                <w:bCs/>
                <w:sz w:val="20"/>
              </w:rPr>
              <w:t>AA</w:t>
            </w:r>
            <w:r w:rsidR="00AE18A2" w:rsidRPr="003D79B5">
              <w:rPr>
                <w:rFonts w:ascii="Aptos" w:hAnsi="Aptos" w:cs="Arial"/>
                <w:b w:val="0"/>
                <w:bCs/>
                <w:sz w:val="20"/>
              </w:rPr>
              <w:t xml:space="preserve"> (</w:t>
            </w:r>
            <w:r w:rsidR="003A2D65" w:rsidRPr="003D79B5">
              <w:rPr>
                <w:rFonts w:ascii="Aptos" w:hAnsi="Aptos" w:cs="Arial"/>
                <w:b w:val="0"/>
                <w:bCs/>
                <w:sz w:val="20"/>
              </w:rPr>
              <w:t>0</w:t>
            </w:r>
            <w:r w:rsidR="00AE18A2" w:rsidRPr="003D79B5">
              <w:rPr>
                <w:rFonts w:ascii="Aptos" w:hAnsi="Aptos" w:cs="Arial"/>
                <w:b w:val="0"/>
                <w:bCs/>
                <w:sz w:val="20"/>
              </w:rPr>
              <w:t>)</w:t>
            </w:r>
          </w:p>
        </w:tc>
        <w:tc>
          <w:tcPr>
            <w:tcW w:w="540" w:type="dxa"/>
            <w:vAlign w:val="center"/>
          </w:tcPr>
          <w:p w14:paraId="2EB85290" w14:textId="7FA26B1E" w:rsidR="00DF5C86" w:rsidRPr="003D79B5" w:rsidRDefault="0031471D" w:rsidP="00A6083F">
            <w:pPr>
              <w:pStyle w:val="Heading2"/>
              <w:numPr>
                <w:ilvl w:val="0"/>
                <w:numId w:val="0"/>
              </w:numPr>
              <w:jc w:val="center"/>
              <w:rPr>
                <w:rFonts w:ascii="Aptos" w:hAnsi="Aptos" w:cs="Arial"/>
                <w:sz w:val="20"/>
              </w:rPr>
            </w:pPr>
            <w:r w:rsidRPr="003D79B5">
              <w:rPr>
                <w:rFonts w:ascii="Aptos" w:hAnsi="Aptos" w:cs="Arial"/>
                <w:sz w:val="20"/>
              </w:rPr>
              <w:t>14</w:t>
            </w:r>
          </w:p>
        </w:tc>
      </w:tr>
      <w:tr w:rsidR="00BE56C3" w:rsidRPr="003D79B5" w14:paraId="5B49CBC5" w14:textId="77777777" w:rsidTr="00493CB0">
        <w:trPr>
          <w:trHeight w:val="247"/>
        </w:trPr>
        <w:tc>
          <w:tcPr>
            <w:tcW w:w="9360" w:type="dxa"/>
            <w:gridSpan w:val="5"/>
          </w:tcPr>
          <w:p w14:paraId="017C00C1" w14:textId="77777777" w:rsidR="00BE56C3" w:rsidRPr="003D79B5" w:rsidRDefault="00BE56C3" w:rsidP="00493CB0">
            <w:pPr>
              <w:rPr>
                <w:rFonts w:ascii="Aptos" w:hAnsi="Aptos" w:cs="Arial"/>
              </w:rPr>
            </w:pPr>
            <w:proofErr w:type="spellStart"/>
            <w:r w:rsidRPr="003D79B5">
              <w:rPr>
                <w:rFonts w:ascii="Aptos" w:hAnsi="Aptos" w:cs="Arial"/>
              </w:rPr>
              <w:t>Distribuţia</w:t>
            </w:r>
            <w:proofErr w:type="spellEnd"/>
            <w:r w:rsidRPr="003D79B5">
              <w:rPr>
                <w:rFonts w:ascii="Aptos" w:hAnsi="Aptos" w:cs="Arial"/>
              </w:rPr>
              <w:t xml:space="preserve"> </w:t>
            </w:r>
            <w:proofErr w:type="spellStart"/>
            <w:r w:rsidRPr="003D79B5">
              <w:rPr>
                <w:rFonts w:ascii="Aptos" w:hAnsi="Aptos" w:cs="Arial"/>
              </w:rPr>
              <w:t>fondului</w:t>
            </w:r>
            <w:proofErr w:type="spellEnd"/>
            <w:r w:rsidRPr="003D79B5">
              <w:rPr>
                <w:rFonts w:ascii="Aptos" w:hAnsi="Aptos" w:cs="Arial"/>
              </w:rPr>
              <w:t xml:space="preserve"> de </w:t>
            </w:r>
            <w:proofErr w:type="spellStart"/>
            <w:r w:rsidRPr="003D79B5">
              <w:rPr>
                <w:rFonts w:ascii="Aptos" w:hAnsi="Aptos" w:cs="Arial"/>
              </w:rPr>
              <w:t>timp</w:t>
            </w:r>
            <w:proofErr w:type="spellEnd"/>
            <w:r w:rsidRPr="003D79B5">
              <w:rPr>
                <w:rFonts w:ascii="Aptos" w:hAnsi="Aptos" w:cs="Arial"/>
              </w:rPr>
              <w:t>:</w:t>
            </w:r>
          </w:p>
        </w:tc>
        <w:tc>
          <w:tcPr>
            <w:tcW w:w="540" w:type="dxa"/>
          </w:tcPr>
          <w:p w14:paraId="0D3592B4" w14:textId="77777777" w:rsidR="00BE56C3" w:rsidRPr="003D79B5" w:rsidRDefault="00BE56C3" w:rsidP="00493CB0">
            <w:pPr>
              <w:rPr>
                <w:rFonts w:ascii="Aptos" w:hAnsi="Aptos" w:cs="Arial"/>
              </w:rPr>
            </w:pPr>
            <w:r w:rsidRPr="003D79B5">
              <w:rPr>
                <w:rFonts w:ascii="Aptos" w:hAnsi="Aptos" w:cs="Arial"/>
              </w:rPr>
              <w:t>ore</w:t>
            </w:r>
          </w:p>
        </w:tc>
      </w:tr>
      <w:tr w:rsidR="00BE56C3" w:rsidRPr="003D79B5" w14:paraId="0DDA94AA" w14:textId="77777777" w:rsidTr="00493CB0">
        <w:trPr>
          <w:trHeight w:val="247"/>
        </w:trPr>
        <w:tc>
          <w:tcPr>
            <w:tcW w:w="9360" w:type="dxa"/>
            <w:gridSpan w:val="5"/>
          </w:tcPr>
          <w:p w14:paraId="391B3BBE" w14:textId="77777777" w:rsidR="00BE56C3" w:rsidRPr="003D79B5" w:rsidRDefault="00BE56C3" w:rsidP="00493CB0">
            <w:pPr>
              <w:rPr>
                <w:rFonts w:ascii="Aptos" w:hAnsi="Aptos" w:cs="Arial"/>
              </w:rPr>
            </w:pPr>
            <w:proofErr w:type="spellStart"/>
            <w:r w:rsidRPr="003D79B5">
              <w:rPr>
                <w:rFonts w:ascii="Aptos" w:hAnsi="Aptos" w:cs="Arial"/>
              </w:rPr>
              <w:t>Studiul</w:t>
            </w:r>
            <w:proofErr w:type="spellEnd"/>
            <w:r w:rsidRPr="003D79B5">
              <w:rPr>
                <w:rFonts w:ascii="Aptos" w:hAnsi="Aptos" w:cs="Arial"/>
              </w:rPr>
              <w:t xml:space="preserve"> </w:t>
            </w:r>
            <w:proofErr w:type="spellStart"/>
            <w:r w:rsidRPr="003D79B5">
              <w:rPr>
                <w:rFonts w:ascii="Aptos" w:hAnsi="Aptos" w:cs="Arial"/>
              </w:rPr>
              <w:t>după</w:t>
            </w:r>
            <w:proofErr w:type="spellEnd"/>
            <w:r w:rsidRPr="003D79B5">
              <w:rPr>
                <w:rFonts w:ascii="Aptos" w:hAnsi="Aptos" w:cs="Arial"/>
              </w:rPr>
              <w:t xml:space="preserve"> manual, </w:t>
            </w:r>
            <w:proofErr w:type="spellStart"/>
            <w:r w:rsidRPr="003D79B5">
              <w:rPr>
                <w:rFonts w:ascii="Aptos" w:hAnsi="Aptos" w:cs="Arial"/>
              </w:rPr>
              <w:t>suport</w:t>
            </w:r>
            <w:proofErr w:type="spellEnd"/>
            <w:r w:rsidRPr="003D79B5">
              <w:rPr>
                <w:rFonts w:ascii="Aptos" w:hAnsi="Aptos" w:cs="Arial"/>
              </w:rPr>
              <w:t xml:space="preserve"> de curs, </w:t>
            </w:r>
            <w:proofErr w:type="spellStart"/>
            <w:r w:rsidRPr="003D79B5">
              <w:rPr>
                <w:rFonts w:ascii="Aptos" w:hAnsi="Aptos" w:cs="Arial"/>
              </w:rPr>
              <w:t>bibliografie</w:t>
            </w:r>
            <w:proofErr w:type="spellEnd"/>
            <w:r w:rsidRPr="003D79B5">
              <w:rPr>
                <w:rFonts w:ascii="Aptos" w:hAnsi="Aptos" w:cs="Arial"/>
              </w:rPr>
              <w:t xml:space="preserve"> </w:t>
            </w:r>
            <w:proofErr w:type="spellStart"/>
            <w:r w:rsidRPr="003D79B5">
              <w:rPr>
                <w:rFonts w:ascii="Aptos" w:hAnsi="Aptos" w:cs="Arial"/>
              </w:rPr>
              <w:t>şi</w:t>
            </w:r>
            <w:proofErr w:type="spellEnd"/>
            <w:r w:rsidRPr="003D79B5">
              <w:rPr>
                <w:rFonts w:ascii="Aptos" w:hAnsi="Aptos" w:cs="Arial"/>
              </w:rPr>
              <w:t xml:space="preserve"> </w:t>
            </w:r>
            <w:proofErr w:type="spellStart"/>
            <w:r w:rsidRPr="003D79B5">
              <w:rPr>
                <w:rFonts w:ascii="Aptos" w:hAnsi="Aptos" w:cs="Arial"/>
              </w:rPr>
              <w:t>notiţe</w:t>
            </w:r>
            <w:proofErr w:type="spellEnd"/>
          </w:p>
        </w:tc>
        <w:tc>
          <w:tcPr>
            <w:tcW w:w="540" w:type="dxa"/>
          </w:tcPr>
          <w:p w14:paraId="64CFAADC" w14:textId="4C3A4A31" w:rsidR="00BE56C3" w:rsidRPr="003D79B5" w:rsidRDefault="00D24C28" w:rsidP="00493CB0">
            <w:pPr>
              <w:rPr>
                <w:rFonts w:ascii="Aptos" w:hAnsi="Aptos" w:cs="Arial"/>
                <w:b/>
              </w:rPr>
            </w:pPr>
            <w:r w:rsidRPr="003D79B5">
              <w:rPr>
                <w:rFonts w:ascii="Aptos" w:hAnsi="Aptos" w:cs="Arial"/>
                <w:b/>
              </w:rPr>
              <w:t>28</w:t>
            </w:r>
          </w:p>
        </w:tc>
      </w:tr>
      <w:tr w:rsidR="00BE56C3" w:rsidRPr="003D79B5" w14:paraId="742F38D7" w14:textId="77777777" w:rsidTr="00A6083F">
        <w:trPr>
          <w:trHeight w:val="247"/>
        </w:trPr>
        <w:tc>
          <w:tcPr>
            <w:tcW w:w="9360" w:type="dxa"/>
            <w:gridSpan w:val="5"/>
          </w:tcPr>
          <w:p w14:paraId="1585EFF6" w14:textId="77777777" w:rsidR="00BE56C3" w:rsidRPr="003D79B5" w:rsidRDefault="00BE56C3" w:rsidP="00493CB0">
            <w:pPr>
              <w:rPr>
                <w:rFonts w:ascii="Aptos" w:hAnsi="Aptos" w:cs="Arial"/>
                <w:lang w:val="it-IT"/>
              </w:rPr>
            </w:pPr>
            <w:r w:rsidRPr="003D79B5">
              <w:rPr>
                <w:rFonts w:ascii="Aptos" w:hAnsi="Aptos" w:cs="Arial"/>
                <w:lang w:val="it-IT"/>
              </w:rPr>
              <w:t>Documentare suplimentară în bibliotecă, pe platformele electronice de specialitate şi pe teren</w:t>
            </w:r>
          </w:p>
        </w:tc>
        <w:tc>
          <w:tcPr>
            <w:tcW w:w="540" w:type="dxa"/>
          </w:tcPr>
          <w:p w14:paraId="4E537EAB" w14:textId="7650B557" w:rsidR="00BE56C3" w:rsidRPr="003D79B5" w:rsidRDefault="00C641BC" w:rsidP="00493CB0">
            <w:pPr>
              <w:rPr>
                <w:rFonts w:ascii="Aptos" w:hAnsi="Aptos" w:cs="Arial"/>
                <w:b/>
              </w:rPr>
            </w:pPr>
            <w:r w:rsidRPr="003D79B5">
              <w:rPr>
                <w:rFonts w:ascii="Aptos" w:hAnsi="Aptos" w:cs="Arial"/>
                <w:b/>
              </w:rPr>
              <w:t>19</w:t>
            </w:r>
          </w:p>
        </w:tc>
      </w:tr>
      <w:tr w:rsidR="00BE56C3" w:rsidRPr="003D79B5" w14:paraId="0B84C804" w14:textId="77777777" w:rsidTr="00A6083F">
        <w:trPr>
          <w:trHeight w:val="247"/>
        </w:trPr>
        <w:tc>
          <w:tcPr>
            <w:tcW w:w="9360" w:type="dxa"/>
            <w:gridSpan w:val="5"/>
          </w:tcPr>
          <w:p w14:paraId="52A47E53" w14:textId="77777777" w:rsidR="00BE56C3" w:rsidRPr="003D79B5" w:rsidRDefault="00BE56C3" w:rsidP="00493CB0">
            <w:pPr>
              <w:rPr>
                <w:rFonts w:ascii="Aptos" w:hAnsi="Aptos" w:cs="Arial"/>
                <w:lang w:val="it-IT"/>
              </w:rPr>
            </w:pPr>
            <w:r w:rsidRPr="003D79B5">
              <w:rPr>
                <w:rFonts w:ascii="Aptos" w:hAnsi="Aptos" w:cs="Arial"/>
                <w:lang w:val="it-IT"/>
              </w:rPr>
              <w:t>Pregătire seminarii/laboratoare, teme, referate, portofolii şi eseuri</w:t>
            </w:r>
          </w:p>
        </w:tc>
        <w:tc>
          <w:tcPr>
            <w:tcW w:w="540" w:type="dxa"/>
          </w:tcPr>
          <w:p w14:paraId="0B8F177D" w14:textId="3FD63AC7" w:rsidR="00BE56C3" w:rsidRPr="003D79B5" w:rsidRDefault="00C641BC" w:rsidP="00493CB0">
            <w:pPr>
              <w:rPr>
                <w:rFonts w:ascii="Aptos" w:hAnsi="Aptos" w:cs="Arial"/>
                <w:b/>
              </w:rPr>
            </w:pPr>
            <w:r w:rsidRPr="003D79B5">
              <w:rPr>
                <w:rFonts w:ascii="Aptos" w:hAnsi="Aptos" w:cs="Arial"/>
                <w:b/>
              </w:rPr>
              <w:t>10</w:t>
            </w:r>
          </w:p>
        </w:tc>
      </w:tr>
      <w:tr w:rsidR="00BE56C3" w:rsidRPr="003D79B5" w14:paraId="0523AFF8" w14:textId="77777777" w:rsidTr="00A6083F">
        <w:trPr>
          <w:trHeight w:val="247"/>
        </w:trPr>
        <w:tc>
          <w:tcPr>
            <w:tcW w:w="9360" w:type="dxa"/>
            <w:gridSpan w:val="5"/>
          </w:tcPr>
          <w:p w14:paraId="7FF9FE5E" w14:textId="77777777" w:rsidR="00BE56C3" w:rsidRPr="003D79B5" w:rsidRDefault="00BE56C3" w:rsidP="00493CB0">
            <w:pPr>
              <w:rPr>
                <w:rFonts w:ascii="Aptos" w:hAnsi="Aptos" w:cs="Arial"/>
              </w:rPr>
            </w:pPr>
            <w:proofErr w:type="spellStart"/>
            <w:r w:rsidRPr="003D79B5">
              <w:rPr>
                <w:rFonts w:ascii="Aptos" w:hAnsi="Aptos" w:cs="Arial"/>
              </w:rPr>
              <w:t>Tutoriat</w:t>
            </w:r>
            <w:proofErr w:type="spellEnd"/>
          </w:p>
        </w:tc>
        <w:tc>
          <w:tcPr>
            <w:tcW w:w="540" w:type="dxa"/>
          </w:tcPr>
          <w:p w14:paraId="34A04FD7" w14:textId="77777777" w:rsidR="00BE56C3" w:rsidRPr="003D79B5" w:rsidRDefault="00BE56C3" w:rsidP="00493CB0">
            <w:pPr>
              <w:rPr>
                <w:rFonts w:ascii="Aptos" w:hAnsi="Aptos" w:cs="Arial"/>
                <w:b/>
              </w:rPr>
            </w:pPr>
            <w:r w:rsidRPr="003D79B5">
              <w:rPr>
                <w:rFonts w:ascii="Aptos" w:hAnsi="Aptos" w:cs="Arial"/>
                <w:b/>
              </w:rPr>
              <w:t>2</w:t>
            </w:r>
          </w:p>
        </w:tc>
      </w:tr>
      <w:tr w:rsidR="00BE56C3" w:rsidRPr="003D79B5" w14:paraId="71BB6B8D" w14:textId="77777777" w:rsidTr="00A6083F">
        <w:trPr>
          <w:trHeight w:val="247"/>
        </w:trPr>
        <w:tc>
          <w:tcPr>
            <w:tcW w:w="9360" w:type="dxa"/>
            <w:gridSpan w:val="5"/>
          </w:tcPr>
          <w:p w14:paraId="45226DCC" w14:textId="77777777" w:rsidR="00BE56C3" w:rsidRPr="003D79B5" w:rsidRDefault="00BE56C3" w:rsidP="00493CB0">
            <w:pPr>
              <w:rPr>
                <w:rFonts w:ascii="Aptos" w:hAnsi="Aptos" w:cs="Arial"/>
              </w:rPr>
            </w:pPr>
            <w:proofErr w:type="spellStart"/>
            <w:r w:rsidRPr="003D79B5">
              <w:rPr>
                <w:rFonts w:ascii="Aptos" w:hAnsi="Aptos" w:cs="Arial"/>
              </w:rPr>
              <w:t>Examinări</w:t>
            </w:r>
            <w:proofErr w:type="spellEnd"/>
            <w:r w:rsidRPr="003D79B5">
              <w:rPr>
                <w:rFonts w:ascii="Aptos" w:hAnsi="Aptos" w:cs="Arial"/>
              </w:rPr>
              <w:t xml:space="preserve"> </w:t>
            </w:r>
          </w:p>
        </w:tc>
        <w:tc>
          <w:tcPr>
            <w:tcW w:w="540" w:type="dxa"/>
          </w:tcPr>
          <w:p w14:paraId="54DB077F" w14:textId="77777777" w:rsidR="00BE56C3" w:rsidRPr="003D79B5" w:rsidRDefault="00BE56C3" w:rsidP="00493CB0">
            <w:pPr>
              <w:rPr>
                <w:rFonts w:ascii="Aptos" w:hAnsi="Aptos" w:cs="Arial"/>
                <w:b/>
              </w:rPr>
            </w:pPr>
            <w:r w:rsidRPr="003D79B5">
              <w:rPr>
                <w:rFonts w:ascii="Aptos" w:hAnsi="Aptos" w:cs="Arial"/>
                <w:b/>
              </w:rPr>
              <w:t>2</w:t>
            </w:r>
          </w:p>
        </w:tc>
      </w:tr>
      <w:tr w:rsidR="00BE56C3" w:rsidRPr="003D79B5" w14:paraId="47609880" w14:textId="77777777" w:rsidTr="00493CB0">
        <w:trPr>
          <w:trHeight w:val="247"/>
        </w:trPr>
        <w:tc>
          <w:tcPr>
            <w:tcW w:w="9360" w:type="dxa"/>
            <w:gridSpan w:val="5"/>
          </w:tcPr>
          <w:p w14:paraId="3E19E6F3" w14:textId="77777777" w:rsidR="00BE56C3" w:rsidRPr="003D79B5" w:rsidRDefault="00BE56C3" w:rsidP="00493CB0">
            <w:pPr>
              <w:rPr>
                <w:rFonts w:ascii="Aptos" w:hAnsi="Aptos" w:cs="Arial"/>
                <w:i/>
                <w:lang w:val="it-IT"/>
              </w:rPr>
            </w:pPr>
            <w:r w:rsidRPr="003D79B5">
              <w:rPr>
                <w:rFonts w:ascii="Aptos" w:hAnsi="Aptos" w:cs="Arial"/>
                <w:lang w:val="it-IT"/>
              </w:rPr>
              <w:t xml:space="preserve">Alte activităţi: </w:t>
            </w:r>
            <w:r w:rsidRPr="003D79B5">
              <w:rPr>
                <w:rFonts w:ascii="Aptos" w:hAnsi="Aptos" w:cs="Arial"/>
                <w:i/>
                <w:lang w:val="it-IT"/>
              </w:rPr>
              <w:t>Nu este cazul</w:t>
            </w:r>
          </w:p>
        </w:tc>
        <w:tc>
          <w:tcPr>
            <w:tcW w:w="540" w:type="dxa"/>
          </w:tcPr>
          <w:p w14:paraId="02BDD352" w14:textId="77777777" w:rsidR="00BE56C3" w:rsidRPr="003D79B5" w:rsidRDefault="00BE56C3" w:rsidP="00493CB0">
            <w:pPr>
              <w:rPr>
                <w:rFonts w:ascii="Aptos" w:hAnsi="Aptos" w:cs="Arial"/>
              </w:rPr>
            </w:pPr>
            <w:r w:rsidRPr="003D79B5">
              <w:rPr>
                <w:rFonts w:ascii="Aptos" w:hAnsi="Aptos" w:cs="Arial"/>
              </w:rPr>
              <w:t>-</w:t>
            </w:r>
          </w:p>
        </w:tc>
      </w:tr>
      <w:tr w:rsidR="00976102" w:rsidRPr="003D79B5" w14:paraId="4D16D964" w14:textId="77777777" w:rsidTr="00F65419">
        <w:trPr>
          <w:gridAfter w:val="4"/>
          <w:wAfter w:w="6077" w:type="dxa"/>
          <w:trHeight w:val="247"/>
        </w:trPr>
        <w:tc>
          <w:tcPr>
            <w:tcW w:w="3256" w:type="dxa"/>
          </w:tcPr>
          <w:p w14:paraId="5FC74AAE" w14:textId="77777777" w:rsidR="00DF5C86" w:rsidRPr="003D79B5" w:rsidRDefault="00DF5C86" w:rsidP="00A6083F">
            <w:pPr>
              <w:pStyle w:val="Heading2"/>
              <w:numPr>
                <w:ilvl w:val="0"/>
                <w:numId w:val="0"/>
              </w:numPr>
              <w:rPr>
                <w:rFonts w:ascii="Aptos" w:hAnsi="Aptos" w:cs="Arial"/>
                <w:sz w:val="20"/>
              </w:rPr>
            </w:pPr>
            <w:r w:rsidRPr="003D79B5">
              <w:rPr>
                <w:rFonts w:ascii="Aptos" w:hAnsi="Aptos" w:cs="Arial"/>
                <w:sz w:val="20"/>
              </w:rPr>
              <w:t>3.7. Total ore studiu individual</w:t>
            </w:r>
          </w:p>
        </w:tc>
        <w:tc>
          <w:tcPr>
            <w:tcW w:w="567" w:type="dxa"/>
            <w:vAlign w:val="center"/>
          </w:tcPr>
          <w:p w14:paraId="7B88E06E" w14:textId="1398A002" w:rsidR="00DF5C86" w:rsidRPr="003D79B5" w:rsidRDefault="006E1412" w:rsidP="00A6083F">
            <w:pPr>
              <w:pStyle w:val="Heading2"/>
              <w:numPr>
                <w:ilvl w:val="0"/>
                <w:numId w:val="0"/>
              </w:numPr>
              <w:jc w:val="center"/>
              <w:rPr>
                <w:rFonts w:ascii="Aptos" w:hAnsi="Aptos" w:cs="Arial"/>
                <w:sz w:val="20"/>
              </w:rPr>
            </w:pPr>
            <w:r w:rsidRPr="003D79B5">
              <w:rPr>
                <w:rFonts w:ascii="Aptos" w:hAnsi="Aptos" w:cs="Arial"/>
                <w:sz w:val="20"/>
              </w:rPr>
              <w:t>61</w:t>
            </w:r>
          </w:p>
        </w:tc>
      </w:tr>
      <w:tr w:rsidR="00976102" w:rsidRPr="003D79B5" w14:paraId="04C394B4" w14:textId="77777777" w:rsidTr="00F65419">
        <w:trPr>
          <w:gridAfter w:val="4"/>
          <w:wAfter w:w="6077" w:type="dxa"/>
          <w:trHeight w:val="247"/>
        </w:trPr>
        <w:tc>
          <w:tcPr>
            <w:tcW w:w="3256" w:type="dxa"/>
          </w:tcPr>
          <w:p w14:paraId="009EADDE" w14:textId="77777777" w:rsidR="00976102" w:rsidRPr="003D79B5" w:rsidRDefault="00DF5C86" w:rsidP="007A1739">
            <w:pPr>
              <w:pStyle w:val="Heading2"/>
              <w:numPr>
                <w:ilvl w:val="0"/>
                <w:numId w:val="0"/>
              </w:numPr>
              <w:rPr>
                <w:rFonts w:ascii="Aptos" w:hAnsi="Aptos" w:cs="Arial"/>
                <w:sz w:val="20"/>
              </w:rPr>
            </w:pPr>
            <w:r w:rsidRPr="003D79B5">
              <w:rPr>
                <w:rFonts w:ascii="Aptos" w:hAnsi="Aptos" w:cs="Arial"/>
                <w:sz w:val="20"/>
              </w:rPr>
              <w:t>3.8. Total ore pe semestru</w:t>
            </w:r>
          </w:p>
        </w:tc>
        <w:tc>
          <w:tcPr>
            <w:tcW w:w="567" w:type="dxa"/>
            <w:vAlign w:val="center"/>
          </w:tcPr>
          <w:p w14:paraId="6280DDA3" w14:textId="0CD11FE5" w:rsidR="00DF5C86" w:rsidRPr="003D79B5" w:rsidRDefault="00C641BC" w:rsidP="00D24C28">
            <w:pPr>
              <w:pStyle w:val="Heading2"/>
              <w:numPr>
                <w:ilvl w:val="0"/>
                <w:numId w:val="0"/>
              </w:numPr>
              <w:jc w:val="center"/>
              <w:rPr>
                <w:rFonts w:ascii="Aptos" w:hAnsi="Aptos" w:cs="Arial"/>
                <w:bCs/>
                <w:sz w:val="20"/>
              </w:rPr>
            </w:pPr>
            <w:r w:rsidRPr="003D79B5">
              <w:rPr>
                <w:rFonts w:ascii="Aptos" w:hAnsi="Aptos" w:cs="Arial"/>
                <w:bCs/>
                <w:sz w:val="20"/>
              </w:rPr>
              <w:t>75</w:t>
            </w:r>
          </w:p>
        </w:tc>
      </w:tr>
      <w:tr w:rsidR="00976102" w:rsidRPr="003D79B5" w14:paraId="4EA4B1B7" w14:textId="77777777" w:rsidTr="00F65419">
        <w:trPr>
          <w:gridAfter w:val="4"/>
          <w:wAfter w:w="6077" w:type="dxa"/>
          <w:trHeight w:val="247"/>
        </w:trPr>
        <w:tc>
          <w:tcPr>
            <w:tcW w:w="3256" w:type="dxa"/>
          </w:tcPr>
          <w:p w14:paraId="5E2C7E34" w14:textId="77777777" w:rsidR="00DF5C86" w:rsidRPr="003D79B5" w:rsidRDefault="00DF5C86" w:rsidP="00A6083F">
            <w:pPr>
              <w:pStyle w:val="Heading2"/>
              <w:numPr>
                <w:ilvl w:val="0"/>
                <w:numId w:val="0"/>
              </w:numPr>
              <w:rPr>
                <w:rFonts w:ascii="Aptos" w:hAnsi="Aptos" w:cs="Arial"/>
                <w:sz w:val="20"/>
                <w:vertAlign w:val="superscript"/>
              </w:rPr>
            </w:pPr>
            <w:r w:rsidRPr="003D79B5">
              <w:rPr>
                <w:rFonts w:ascii="Aptos" w:hAnsi="Aptos" w:cs="Arial"/>
                <w:sz w:val="20"/>
              </w:rPr>
              <w:t>3.9. Numărul de credite</w:t>
            </w:r>
          </w:p>
        </w:tc>
        <w:tc>
          <w:tcPr>
            <w:tcW w:w="567" w:type="dxa"/>
            <w:vAlign w:val="center"/>
          </w:tcPr>
          <w:p w14:paraId="6BF26F4C" w14:textId="5B6973A7" w:rsidR="00DF5C86" w:rsidRPr="003D79B5" w:rsidRDefault="006E1412" w:rsidP="003A2D65">
            <w:pPr>
              <w:pStyle w:val="Heading2"/>
              <w:numPr>
                <w:ilvl w:val="0"/>
                <w:numId w:val="0"/>
              </w:numPr>
              <w:jc w:val="center"/>
              <w:rPr>
                <w:rFonts w:ascii="Aptos" w:hAnsi="Aptos" w:cs="Arial"/>
                <w:sz w:val="20"/>
              </w:rPr>
            </w:pPr>
            <w:r w:rsidRPr="003D79B5">
              <w:rPr>
                <w:rFonts w:ascii="Aptos" w:hAnsi="Aptos" w:cs="Arial"/>
                <w:sz w:val="20"/>
              </w:rPr>
              <w:t>3</w:t>
            </w:r>
          </w:p>
        </w:tc>
      </w:tr>
    </w:tbl>
    <w:p w14:paraId="1F42A41B" w14:textId="77777777" w:rsidR="00DF5C86" w:rsidRPr="003D79B5" w:rsidRDefault="00DF5C86" w:rsidP="00DF5C86">
      <w:pPr>
        <w:ind w:right="-874"/>
        <w:jc w:val="both"/>
        <w:rPr>
          <w:rFonts w:ascii="Aptos" w:hAnsi="Aptos" w:cs="Arial"/>
          <w:b/>
          <w:bCs/>
          <w:lang w:val="ro-RO"/>
        </w:rPr>
      </w:pPr>
    </w:p>
    <w:p w14:paraId="5A9E657E" w14:textId="7D7921C9" w:rsidR="00DF5C86" w:rsidRPr="003D79B5" w:rsidRDefault="00DF5C86" w:rsidP="00DF5C86">
      <w:pPr>
        <w:rPr>
          <w:rFonts w:ascii="Aptos" w:hAnsi="Aptos" w:cs="Arial"/>
          <w:lang w:val="ro-RO"/>
        </w:rPr>
      </w:pPr>
      <w:r w:rsidRPr="003D79B5">
        <w:rPr>
          <w:rFonts w:ascii="Aptos" w:hAnsi="Aptos" w:cs="Arial"/>
          <w:b/>
          <w:lang w:val="ro-RO"/>
        </w:rPr>
        <w:t xml:space="preserve">4. Precondiţii </w:t>
      </w:r>
      <w:r w:rsidRPr="003D79B5">
        <w:rPr>
          <w:rFonts w:ascii="Aptos" w:hAnsi="Aptos" w:cs="Arial"/>
          <w:lang w:val="ro-RO"/>
        </w:rPr>
        <w:t>(acolo unde este cazul)</w:t>
      </w:r>
    </w:p>
    <w:p w14:paraId="2B12185D" w14:textId="77777777" w:rsidR="001349C9" w:rsidRPr="003D79B5"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3D79B5" w14:paraId="7EF1054B" w14:textId="77777777" w:rsidTr="00A6083F">
        <w:tc>
          <w:tcPr>
            <w:tcW w:w="1980" w:type="dxa"/>
          </w:tcPr>
          <w:p w14:paraId="09A869C5" w14:textId="77777777" w:rsidR="00DF5C86" w:rsidRPr="003D79B5" w:rsidRDefault="00DF5C86" w:rsidP="00A6083F">
            <w:pPr>
              <w:rPr>
                <w:rFonts w:ascii="Aptos" w:hAnsi="Aptos" w:cs="Arial"/>
                <w:lang w:val="ro-RO"/>
              </w:rPr>
            </w:pPr>
            <w:r w:rsidRPr="003D79B5">
              <w:rPr>
                <w:rFonts w:ascii="Aptos" w:hAnsi="Aptos" w:cs="Arial"/>
                <w:lang w:val="ro-RO"/>
              </w:rPr>
              <w:t>4.1. de curriculum</w:t>
            </w:r>
          </w:p>
        </w:tc>
        <w:tc>
          <w:tcPr>
            <w:tcW w:w="7920" w:type="dxa"/>
            <w:tcBorders>
              <w:bottom w:val="single" w:sz="4" w:space="0" w:color="auto"/>
            </w:tcBorders>
            <w:vAlign w:val="center"/>
          </w:tcPr>
          <w:p w14:paraId="1CEE59A0" w14:textId="77777777" w:rsidR="00DF5C86" w:rsidRPr="003D79B5" w:rsidRDefault="002F2088" w:rsidP="002F2088">
            <w:pPr>
              <w:rPr>
                <w:rFonts w:ascii="Aptos" w:hAnsi="Aptos" w:cs="Arial"/>
                <w:i/>
                <w:lang w:val="ro-RO"/>
              </w:rPr>
            </w:pPr>
            <w:r w:rsidRPr="003D79B5">
              <w:rPr>
                <w:rFonts w:ascii="Aptos" w:hAnsi="Aptos" w:cs="Arial"/>
                <w:i/>
                <w:lang w:val="ro-RO"/>
              </w:rPr>
              <w:t>Nu este cazul</w:t>
            </w:r>
          </w:p>
        </w:tc>
      </w:tr>
      <w:tr w:rsidR="00DF5C86" w:rsidRPr="008A3E20" w14:paraId="6E999FB9" w14:textId="77777777" w:rsidTr="00A6083F">
        <w:tc>
          <w:tcPr>
            <w:tcW w:w="1980" w:type="dxa"/>
          </w:tcPr>
          <w:p w14:paraId="7F651AF5" w14:textId="77777777" w:rsidR="00DF5C86" w:rsidRPr="003D79B5" w:rsidRDefault="00DF5C86" w:rsidP="00A6083F">
            <w:pPr>
              <w:rPr>
                <w:rFonts w:ascii="Aptos" w:hAnsi="Aptos" w:cs="Arial"/>
                <w:lang w:val="ro-RO"/>
              </w:rPr>
            </w:pPr>
            <w:r w:rsidRPr="003D79B5">
              <w:rPr>
                <w:rFonts w:ascii="Aptos" w:hAnsi="Aptos" w:cs="Arial"/>
                <w:lang w:val="ro-RO"/>
              </w:rPr>
              <w:t>4.2. de competenţe</w:t>
            </w:r>
          </w:p>
        </w:tc>
        <w:tc>
          <w:tcPr>
            <w:tcW w:w="7920" w:type="dxa"/>
            <w:vAlign w:val="center"/>
          </w:tcPr>
          <w:p w14:paraId="64C82E00" w14:textId="07CD1BC8" w:rsidR="00DF5C86" w:rsidRPr="003D79B5" w:rsidRDefault="000E0185" w:rsidP="000E0185">
            <w:pPr>
              <w:jc w:val="both"/>
              <w:rPr>
                <w:rFonts w:ascii="Aptos" w:hAnsi="Aptos" w:cs="Arial"/>
                <w:lang w:val="ro-RO"/>
              </w:rPr>
            </w:pPr>
            <w:r w:rsidRPr="003D79B5">
              <w:rPr>
                <w:rFonts w:ascii="Aptos" w:hAnsi="Aptos" w:cs="Arial"/>
                <w:lang w:val="ro-RO"/>
              </w:rPr>
              <w:t>Cursul este predat în limba engleză, motiv pentru care este necesară cunoașterea la nivel mediu/avansat a englezei juridice</w:t>
            </w:r>
          </w:p>
        </w:tc>
      </w:tr>
    </w:tbl>
    <w:p w14:paraId="1691615D" w14:textId="77777777" w:rsidR="00DF5C86" w:rsidRPr="003D79B5" w:rsidRDefault="00DF5C86" w:rsidP="00DF5C86">
      <w:pPr>
        <w:rPr>
          <w:rFonts w:ascii="Aptos" w:hAnsi="Aptos" w:cs="Arial"/>
          <w:b/>
          <w:lang w:val="ro-RO"/>
        </w:rPr>
      </w:pPr>
    </w:p>
    <w:p w14:paraId="6250E8A7" w14:textId="1815CBE8" w:rsidR="00DF5C86" w:rsidRPr="003D79B5" w:rsidRDefault="00DF5C86" w:rsidP="00DF5C86">
      <w:pPr>
        <w:rPr>
          <w:rFonts w:ascii="Aptos" w:hAnsi="Aptos" w:cs="Arial"/>
          <w:lang w:val="ro-RO"/>
        </w:rPr>
      </w:pPr>
      <w:r w:rsidRPr="003D79B5">
        <w:rPr>
          <w:rFonts w:ascii="Aptos" w:hAnsi="Aptos" w:cs="Arial"/>
          <w:b/>
          <w:lang w:val="ro-RO"/>
        </w:rPr>
        <w:t xml:space="preserve">5. Condiţii </w:t>
      </w:r>
      <w:r w:rsidRPr="003D79B5">
        <w:rPr>
          <w:rFonts w:ascii="Aptos" w:hAnsi="Aptos" w:cs="Arial"/>
          <w:lang w:val="ro-RO"/>
        </w:rPr>
        <w:t>(acolo unde este cazul)</w:t>
      </w:r>
    </w:p>
    <w:p w14:paraId="173C403D" w14:textId="77777777" w:rsidR="001349C9" w:rsidRPr="003D79B5"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3D79B5" w14:paraId="5D920B9E" w14:textId="77777777" w:rsidTr="00A6083F">
        <w:tc>
          <w:tcPr>
            <w:tcW w:w="2977" w:type="dxa"/>
          </w:tcPr>
          <w:p w14:paraId="54FA2D87" w14:textId="77777777" w:rsidR="00DF5C86" w:rsidRPr="003D79B5" w:rsidRDefault="00DF5C86" w:rsidP="00A6083F">
            <w:pPr>
              <w:rPr>
                <w:rFonts w:ascii="Aptos" w:hAnsi="Aptos" w:cs="Arial"/>
                <w:lang w:val="ro-RO"/>
              </w:rPr>
            </w:pPr>
            <w:r w:rsidRPr="003D79B5">
              <w:rPr>
                <w:rFonts w:ascii="Aptos" w:hAnsi="Aptos" w:cs="Arial"/>
                <w:lang w:val="ro-RO"/>
              </w:rPr>
              <w:t>5.1. de desfăşurare a cursului</w:t>
            </w:r>
          </w:p>
        </w:tc>
        <w:tc>
          <w:tcPr>
            <w:tcW w:w="6923" w:type="dxa"/>
            <w:vAlign w:val="center"/>
          </w:tcPr>
          <w:p w14:paraId="1CB16C3C" w14:textId="1E2C9978" w:rsidR="00DF5C86" w:rsidRPr="003D79B5" w:rsidRDefault="007A1739" w:rsidP="009336FE">
            <w:pPr>
              <w:jc w:val="both"/>
              <w:rPr>
                <w:rFonts w:ascii="Aptos" w:hAnsi="Aptos" w:cs="Arial"/>
                <w:lang w:val="it-IT"/>
              </w:rPr>
            </w:pPr>
            <w:r w:rsidRPr="003D79B5">
              <w:rPr>
                <w:rFonts w:ascii="Aptos" w:hAnsi="Aptos" w:cs="Arial"/>
                <w:lang w:val="it-IT"/>
              </w:rPr>
              <w:t>Platforma eLe</w:t>
            </w:r>
            <w:r w:rsidR="009336FE" w:rsidRPr="003D79B5">
              <w:rPr>
                <w:rFonts w:ascii="Aptos" w:hAnsi="Aptos" w:cs="Arial"/>
                <w:lang w:val="it-IT"/>
              </w:rPr>
              <w:t>a</w:t>
            </w:r>
            <w:r w:rsidRPr="003D79B5">
              <w:rPr>
                <w:rFonts w:ascii="Aptos" w:hAnsi="Aptos" w:cs="Arial"/>
                <w:lang w:val="it-IT"/>
              </w:rPr>
              <w:t>rning a UBB</w:t>
            </w:r>
            <w:r w:rsidR="00984246" w:rsidRPr="003D79B5">
              <w:rPr>
                <w:rFonts w:ascii="Aptos" w:hAnsi="Aptos" w:cs="Arial"/>
                <w:lang w:val="it-IT"/>
              </w:rPr>
              <w:t xml:space="preserve">, sală de aproximativ </w:t>
            </w:r>
            <w:r w:rsidR="005F3FCC" w:rsidRPr="003D79B5">
              <w:rPr>
                <w:rFonts w:ascii="Aptos" w:hAnsi="Aptos" w:cs="Arial"/>
                <w:lang w:val="it-IT"/>
              </w:rPr>
              <w:t>3</w:t>
            </w:r>
            <w:r w:rsidR="00984246" w:rsidRPr="003D79B5">
              <w:rPr>
                <w:rFonts w:ascii="Aptos" w:hAnsi="Aptos" w:cs="Arial"/>
                <w:lang w:val="it-IT"/>
              </w:rPr>
              <w:t>0 de locuri, tablă, cretă</w:t>
            </w:r>
            <w:r w:rsidR="009336FE" w:rsidRPr="003D79B5">
              <w:rPr>
                <w:rFonts w:ascii="Aptos" w:hAnsi="Aptos" w:cs="Arial"/>
                <w:lang w:val="it-IT"/>
              </w:rPr>
              <w:t>, eventual proiector și accesorii</w:t>
            </w:r>
          </w:p>
        </w:tc>
      </w:tr>
      <w:tr w:rsidR="00DF5C86" w:rsidRPr="003D79B5" w14:paraId="1322E74B" w14:textId="77777777" w:rsidTr="00A6083F">
        <w:tc>
          <w:tcPr>
            <w:tcW w:w="2977" w:type="dxa"/>
          </w:tcPr>
          <w:p w14:paraId="46D493B9" w14:textId="77777777" w:rsidR="00DF5C86" w:rsidRPr="003D79B5" w:rsidRDefault="00DF5C86" w:rsidP="00A6083F">
            <w:pPr>
              <w:rPr>
                <w:rFonts w:ascii="Aptos" w:hAnsi="Aptos" w:cs="Arial"/>
                <w:lang w:val="ro-RO"/>
              </w:rPr>
            </w:pPr>
            <w:r w:rsidRPr="003D79B5">
              <w:rPr>
                <w:rFonts w:ascii="Aptos" w:hAnsi="Aptos" w:cs="Arial"/>
                <w:lang w:val="ro-RO"/>
              </w:rPr>
              <w:t>5.2. de desfăşurare a seminarului/ laboratorului/ proiectului</w:t>
            </w:r>
          </w:p>
        </w:tc>
        <w:tc>
          <w:tcPr>
            <w:tcW w:w="6923" w:type="dxa"/>
            <w:vAlign w:val="center"/>
          </w:tcPr>
          <w:p w14:paraId="3BD27017" w14:textId="4D3B7DC1" w:rsidR="00DF5C86" w:rsidRPr="003D79B5" w:rsidRDefault="002F2088" w:rsidP="009336FE">
            <w:pPr>
              <w:jc w:val="both"/>
              <w:rPr>
                <w:rFonts w:ascii="Aptos" w:hAnsi="Aptos" w:cs="Arial"/>
                <w:lang w:val="it-IT"/>
              </w:rPr>
            </w:pPr>
            <w:r w:rsidRPr="003D79B5">
              <w:rPr>
                <w:rFonts w:ascii="Aptos" w:hAnsi="Aptos" w:cs="Arial"/>
                <w:lang w:val="it-IT"/>
              </w:rPr>
              <w:t>Studenţii se vor prezenta la activitățile tutoriale având telefoanele mobile închise.</w:t>
            </w:r>
            <w:r w:rsidR="009336FE" w:rsidRPr="003D79B5">
              <w:rPr>
                <w:rFonts w:ascii="Aptos" w:hAnsi="Aptos" w:cs="Arial"/>
                <w:lang w:val="it-IT"/>
              </w:rPr>
              <w:t xml:space="preserve"> </w:t>
            </w:r>
            <w:r w:rsidRPr="003D79B5">
              <w:rPr>
                <w:rFonts w:ascii="Aptos" w:hAnsi="Aptos" w:cs="Arial"/>
                <w:lang w:val="it-IT"/>
              </w:rPr>
              <w:t xml:space="preserve">Termenul de </w:t>
            </w:r>
            <w:r w:rsidR="004D5C24" w:rsidRPr="003D79B5">
              <w:rPr>
                <w:rFonts w:ascii="Aptos" w:hAnsi="Aptos" w:cs="Arial"/>
                <w:lang w:val="it-IT"/>
              </w:rPr>
              <w:t>preda</w:t>
            </w:r>
            <w:r w:rsidRPr="003D79B5">
              <w:rPr>
                <w:rFonts w:ascii="Aptos" w:hAnsi="Aptos" w:cs="Arial"/>
                <w:lang w:val="it-IT"/>
              </w:rPr>
              <w:t>re a temelor de control este stabilit de titular și</w:t>
            </w:r>
            <w:r w:rsidR="004D5C24" w:rsidRPr="003D79B5">
              <w:rPr>
                <w:rFonts w:ascii="Aptos" w:hAnsi="Aptos" w:cs="Arial"/>
                <w:lang w:val="it-IT"/>
              </w:rPr>
              <w:t xml:space="preserve"> este</w:t>
            </w:r>
            <w:r w:rsidRPr="003D79B5">
              <w:rPr>
                <w:rFonts w:ascii="Aptos" w:hAnsi="Aptos" w:cs="Arial"/>
                <w:lang w:val="it-IT"/>
              </w:rPr>
              <w:t xml:space="preserve"> afișat pe platforma eLearning.</w:t>
            </w:r>
            <w:r w:rsidR="00B277FC" w:rsidRPr="003D79B5">
              <w:rPr>
                <w:rFonts w:ascii="Aptos" w:hAnsi="Aptos" w:cs="Arial"/>
                <w:lang w:val="it-IT"/>
              </w:rPr>
              <w:t xml:space="preserve"> </w:t>
            </w:r>
          </w:p>
        </w:tc>
      </w:tr>
    </w:tbl>
    <w:p w14:paraId="048CD61E" w14:textId="77777777" w:rsidR="002F2088" w:rsidRPr="003D79B5" w:rsidRDefault="002F2088" w:rsidP="00DF5C86">
      <w:pPr>
        <w:rPr>
          <w:rFonts w:ascii="Aptos" w:hAnsi="Aptos" w:cs="Arial"/>
          <w:b/>
          <w:lang w:val="ro-RO"/>
        </w:rPr>
      </w:pPr>
    </w:p>
    <w:p w14:paraId="29FEDE05" w14:textId="006DF96E" w:rsidR="00DF5C86" w:rsidRPr="003D79B5" w:rsidRDefault="00DF5C86" w:rsidP="00DF5C86">
      <w:pPr>
        <w:rPr>
          <w:rFonts w:ascii="Aptos" w:hAnsi="Aptos" w:cs="Arial"/>
          <w:b/>
          <w:lang w:val="ro-RO"/>
        </w:rPr>
      </w:pPr>
      <w:r w:rsidRPr="003D79B5">
        <w:rPr>
          <w:rFonts w:ascii="Aptos" w:hAnsi="Aptos" w:cs="Arial"/>
          <w:b/>
          <w:lang w:val="ro-RO"/>
        </w:rPr>
        <w:t>6. Competenţe specifice acumulate</w:t>
      </w:r>
    </w:p>
    <w:p w14:paraId="1606A5DD" w14:textId="77777777" w:rsidR="001349C9" w:rsidRPr="003D79B5"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8A3E20" w14:paraId="61885AAA" w14:textId="77777777" w:rsidTr="00A6083F">
        <w:trPr>
          <w:cantSplit/>
          <w:trHeight w:val="1332"/>
        </w:trPr>
        <w:tc>
          <w:tcPr>
            <w:tcW w:w="567" w:type="dxa"/>
            <w:textDirection w:val="btLr"/>
          </w:tcPr>
          <w:p w14:paraId="3198243C" w14:textId="77777777" w:rsidR="00DF5C86" w:rsidRPr="003D79B5" w:rsidRDefault="00DF5C86" w:rsidP="002F2088">
            <w:pPr>
              <w:ind w:left="113" w:right="113"/>
              <w:jc w:val="center"/>
              <w:rPr>
                <w:rFonts w:ascii="Aptos" w:hAnsi="Aptos" w:cs="Arial"/>
                <w:lang w:val="ro-RO"/>
              </w:rPr>
            </w:pPr>
            <w:r w:rsidRPr="003D79B5">
              <w:rPr>
                <w:rFonts w:ascii="Aptos" w:hAnsi="Aptos" w:cs="Arial"/>
                <w:lang w:val="ro-RO"/>
              </w:rPr>
              <w:t>Competenţe profesionale</w:t>
            </w:r>
          </w:p>
        </w:tc>
        <w:tc>
          <w:tcPr>
            <w:tcW w:w="9333" w:type="dxa"/>
            <w:vAlign w:val="center"/>
          </w:tcPr>
          <w:p w14:paraId="63215271" w14:textId="76EFF68D" w:rsidR="000E0185" w:rsidRPr="003D79B5" w:rsidRDefault="000E0185" w:rsidP="000E0185">
            <w:pPr>
              <w:jc w:val="both"/>
              <w:rPr>
                <w:rFonts w:ascii="Aptos" w:hAnsi="Aptos" w:cs="Arial"/>
              </w:rPr>
            </w:pPr>
            <w:r w:rsidRPr="003D79B5">
              <w:rPr>
                <w:rFonts w:ascii="Aptos" w:hAnsi="Aptos" w:cs="Arial"/>
              </w:rPr>
              <w:t xml:space="preserve">           1. </w:t>
            </w:r>
            <w:proofErr w:type="spellStart"/>
            <w:r w:rsidRPr="003D79B5">
              <w:rPr>
                <w:rFonts w:ascii="Aptos" w:hAnsi="Aptos" w:cs="Arial"/>
                <w:i/>
              </w:rPr>
              <w:t>Cunoaștere</w:t>
            </w:r>
            <w:proofErr w:type="spellEnd"/>
            <w:r w:rsidRPr="003D79B5">
              <w:rPr>
                <w:rFonts w:ascii="Aptos" w:hAnsi="Aptos" w:cs="Arial"/>
                <w:i/>
              </w:rPr>
              <w:t xml:space="preserve"> </w:t>
            </w:r>
            <w:proofErr w:type="spellStart"/>
            <w:r w:rsidRPr="003D79B5">
              <w:rPr>
                <w:rFonts w:ascii="Aptos" w:hAnsi="Aptos" w:cs="Arial"/>
                <w:i/>
              </w:rPr>
              <w:t>și</w:t>
            </w:r>
            <w:proofErr w:type="spellEnd"/>
            <w:r w:rsidRPr="003D79B5">
              <w:rPr>
                <w:rFonts w:ascii="Aptos" w:hAnsi="Aptos" w:cs="Arial"/>
                <w:i/>
              </w:rPr>
              <w:t xml:space="preserve"> </w:t>
            </w:r>
            <w:proofErr w:type="spellStart"/>
            <w:r w:rsidRPr="003D79B5">
              <w:rPr>
                <w:rFonts w:ascii="Aptos" w:hAnsi="Aptos" w:cs="Arial"/>
                <w:i/>
              </w:rPr>
              <w:t>înțelegere</w:t>
            </w:r>
            <w:proofErr w:type="spellEnd"/>
          </w:p>
          <w:p w14:paraId="1064B403" w14:textId="77777777" w:rsidR="000E0185" w:rsidRPr="003D79B5" w:rsidRDefault="000E0185" w:rsidP="000E0185">
            <w:pPr>
              <w:pStyle w:val="ListParagraph"/>
              <w:numPr>
                <w:ilvl w:val="0"/>
                <w:numId w:val="20"/>
              </w:numPr>
              <w:contextualSpacing w:val="0"/>
              <w:jc w:val="both"/>
              <w:rPr>
                <w:rFonts w:ascii="Aptos" w:hAnsi="Aptos" w:cs="Arial"/>
              </w:rPr>
            </w:pPr>
            <w:proofErr w:type="spellStart"/>
            <w:r w:rsidRPr="003D79B5">
              <w:rPr>
                <w:rFonts w:ascii="Aptos" w:hAnsi="Aptos" w:cs="Arial"/>
              </w:rPr>
              <w:t>Cunoaște</w:t>
            </w:r>
            <w:proofErr w:type="spellEnd"/>
            <w:r w:rsidRPr="003D79B5">
              <w:rPr>
                <w:rFonts w:ascii="Aptos" w:hAnsi="Aptos" w:cs="Arial"/>
              </w:rPr>
              <w:t xml:space="preserve"> </w:t>
            </w:r>
            <w:proofErr w:type="spellStart"/>
            <w:r w:rsidRPr="003D79B5">
              <w:rPr>
                <w:rFonts w:ascii="Aptos" w:hAnsi="Aptos" w:cs="Arial"/>
              </w:rPr>
              <w:t>și</w:t>
            </w:r>
            <w:proofErr w:type="spellEnd"/>
            <w:r w:rsidRPr="003D79B5">
              <w:rPr>
                <w:rFonts w:ascii="Aptos" w:hAnsi="Aptos" w:cs="Arial"/>
              </w:rPr>
              <w:t xml:space="preserve"> </w:t>
            </w:r>
            <w:proofErr w:type="spellStart"/>
            <w:r w:rsidRPr="003D79B5">
              <w:rPr>
                <w:rFonts w:ascii="Aptos" w:hAnsi="Aptos" w:cs="Arial"/>
              </w:rPr>
              <w:t>înțelege</w:t>
            </w:r>
            <w:proofErr w:type="spellEnd"/>
            <w:r w:rsidRPr="003D79B5">
              <w:rPr>
                <w:rFonts w:ascii="Aptos" w:hAnsi="Aptos" w:cs="Arial"/>
              </w:rPr>
              <w:t xml:space="preserve"> </w:t>
            </w:r>
            <w:proofErr w:type="spellStart"/>
            <w:r w:rsidRPr="003D79B5">
              <w:rPr>
                <w:rFonts w:ascii="Aptos" w:hAnsi="Aptos" w:cs="Arial"/>
              </w:rPr>
              <w:t>mecanismele</w:t>
            </w:r>
            <w:proofErr w:type="spellEnd"/>
            <w:r w:rsidRPr="003D79B5">
              <w:rPr>
                <w:rFonts w:ascii="Aptos" w:hAnsi="Aptos" w:cs="Arial"/>
              </w:rPr>
              <w:t xml:space="preserve"> </w:t>
            </w:r>
            <w:proofErr w:type="spellStart"/>
            <w:r w:rsidRPr="003D79B5">
              <w:rPr>
                <w:rFonts w:ascii="Aptos" w:hAnsi="Aptos" w:cs="Arial"/>
              </w:rPr>
              <w:t>construcției</w:t>
            </w:r>
            <w:proofErr w:type="spellEnd"/>
            <w:r w:rsidRPr="003D79B5">
              <w:rPr>
                <w:rFonts w:ascii="Aptos" w:hAnsi="Aptos" w:cs="Arial"/>
              </w:rPr>
              <w:t xml:space="preserve"> </w:t>
            </w:r>
            <w:proofErr w:type="spellStart"/>
            <w:r w:rsidRPr="003D79B5">
              <w:rPr>
                <w:rFonts w:ascii="Aptos" w:hAnsi="Aptos" w:cs="Arial"/>
              </w:rPr>
              <w:t>europene</w:t>
            </w:r>
            <w:proofErr w:type="spellEnd"/>
            <w:r w:rsidRPr="003D79B5">
              <w:rPr>
                <w:rFonts w:ascii="Aptos" w:hAnsi="Aptos" w:cs="Arial"/>
              </w:rPr>
              <w:t xml:space="preserve"> </w:t>
            </w:r>
            <w:proofErr w:type="spellStart"/>
            <w:r w:rsidRPr="003D79B5">
              <w:rPr>
                <w:rFonts w:ascii="Aptos" w:hAnsi="Aptos" w:cs="Arial"/>
              </w:rPr>
              <w:t>în</w:t>
            </w:r>
            <w:proofErr w:type="spellEnd"/>
            <w:r w:rsidRPr="003D79B5">
              <w:rPr>
                <w:rFonts w:ascii="Aptos" w:hAnsi="Aptos" w:cs="Arial"/>
              </w:rPr>
              <w:t xml:space="preserve"> </w:t>
            </w:r>
            <w:proofErr w:type="spellStart"/>
            <w:r w:rsidRPr="003D79B5">
              <w:rPr>
                <w:rFonts w:ascii="Aptos" w:hAnsi="Aptos" w:cs="Arial"/>
              </w:rPr>
              <w:t>materie</w:t>
            </w:r>
            <w:proofErr w:type="spellEnd"/>
            <w:r w:rsidRPr="003D79B5">
              <w:rPr>
                <w:rFonts w:ascii="Aptos" w:hAnsi="Aptos" w:cs="Arial"/>
              </w:rPr>
              <w:t xml:space="preserve"> </w:t>
            </w:r>
            <w:proofErr w:type="spellStart"/>
            <w:r w:rsidRPr="003D79B5">
              <w:rPr>
                <w:rFonts w:ascii="Aptos" w:hAnsi="Aptos" w:cs="Arial"/>
              </w:rPr>
              <w:t>fiscală</w:t>
            </w:r>
            <w:proofErr w:type="spellEnd"/>
            <w:r w:rsidRPr="003D79B5">
              <w:rPr>
                <w:rFonts w:ascii="Aptos" w:hAnsi="Aptos" w:cs="Arial"/>
              </w:rPr>
              <w:t>;</w:t>
            </w:r>
          </w:p>
          <w:p w14:paraId="025A8D58" w14:textId="77777777" w:rsidR="000E0185" w:rsidRPr="003D79B5" w:rsidRDefault="000E0185" w:rsidP="000E0185">
            <w:pPr>
              <w:pStyle w:val="ListParagraph"/>
              <w:numPr>
                <w:ilvl w:val="0"/>
                <w:numId w:val="20"/>
              </w:numPr>
              <w:contextualSpacing w:val="0"/>
              <w:jc w:val="both"/>
              <w:rPr>
                <w:rFonts w:ascii="Aptos" w:hAnsi="Aptos" w:cs="Arial"/>
                <w:lang w:val="it-IT"/>
              </w:rPr>
            </w:pPr>
            <w:r w:rsidRPr="003D79B5">
              <w:rPr>
                <w:rFonts w:ascii="Aptos" w:hAnsi="Aptos" w:cs="Arial"/>
                <w:lang w:val="it-IT"/>
              </w:rPr>
              <w:t>Cunoaște și înțelege principalele realizări în materie legislativă în dreptul fiscal al Uniunii Europene;</w:t>
            </w:r>
          </w:p>
          <w:p w14:paraId="66ED098F" w14:textId="77777777" w:rsidR="000E0185" w:rsidRPr="003D79B5" w:rsidRDefault="000E0185" w:rsidP="000E0185">
            <w:pPr>
              <w:pStyle w:val="ListParagraph"/>
              <w:numPr>
                <w:ilvl w:val="0"/>
                <w:numId w:val="20"/>
              </w:numPr>
              <w:contextualSpacing w:val="0"/>
              <w:jc w:val="both"/>
              <w:rPr>
                <w:rFonts w:ascii="Aptos" w:hAnsi="Aptos" w:cs="Arial"/>
                <w:lang w:val="it-IT"/>
              </w:rPr>
            </w:pPr>
            <w:r w:rsidRPr="003D79B5">
              <w:rPr>
                <w:rFonts w:ascii="Aptos" w:hAnsi="Aptos" w:cs="Arial"/>
                <w:lang w:val="it-IT"/>
              </w:rPr>
              <w:t>Cunoaște și înțelege politica fiscală a Uniunii Europene;</w:t>
            </w:r>
          </w:p>
          <w:p w14:paraId="2E94B3AE" w14:textId="77777777" w:rsidR="000E0185" w:rsidRPr="003D79B5" w:rsidRDefault="000E0185" w:rsidP="000E0185">
            <w:pPr>
              <w:pStyle w:val="ListParagraph"/>
              <w:numPr>
                <w:ilvl w:val="0"/>
                <w:numId w:val="20"/>
              </w:numPr>
              <w:contextualSpacing w:val="0"/>
              <w:jc w:val="both"/>
              <w:rPr>
                <w:rFonts w:ascii="Aptos" w:hAnsi="Aptos" w:cs="Arial"/>
                <w:lang w:val="it-IT"/>
              </w:rPr>
            </w:pPr>
            <w:r w:rsidRPr="003D79B5">
              <w:rPr>
                <w:rFonts w:ascii="Aptos" w:hAnsi="Aptos" w:cs="Arial"/>
                <w:lang w:val="it-IT"/>
              </w:rPr>
              <w:t>Cunoaște și înțelege jurisprudența Curții de Justiție a Uniunii Europene în materie fiscală, respectiv jurisprudența Curții Europene a Drepturilor Omului în afacerile cu componente fiscale.</w:t>
            </w:r>
          </w:p>
          <w:p w14:paraId="19BDE6F1" w14:textId="77777777" w:rsidR="000E0185" w:rsidRPr="003D79B5" w:rsidRDefault="000E0185" w:rsidP="000E0185">
            <w:pPr>
              <w:ind w:left="651"/>
              <w:jc w:val="both"/>
              <w:rPr>
                <w:rFonts w:ascii="Aptos" w:hAnsi="Aptos" w:cs="Arial"/>
              </w:rPr>
            </w:pPr>
            <w:r w:rsidRPr="003D79B5">
              <w:rPr>
                <w:rFonts w:ascii="Aptos" w:hAnsi="Aptos" w:cs="Arial"/>
              </w:rPr>
              <w:t xml:space="preserve">2. </w:t>
            </w:r>
            <w:proofErr w:type="spellStart"/>
            <w:r w:rsidRPr="003D79B5">
              <w:rPr>
                <w:rFonts w:ascii="Aptos" w:hAnsi="Aptos" w:cs="Arial"/>
                <w:i/>
              </w:rPr>
              <w:t>Explicare</w:t>
            </w:r>
            <w:proofErr w:type="spellEnd"/>
            <w:r w:rsidRPr="003D79B5">
              <w:rPr>
                <w:rFonts w:ascii="Aptos" w:hAnsi="Aptos" w:cs="Arial"/>
                <w:i/>
              </w:rPr>
              <w:t xml:space="preserve">, </w:t>
            </w:r>
            <w:proofErr w:type="spellStart"/>
            <w:r w:rsidRPr="003D79B5">
              <w:rPr>
                <w:rFonts w:ascii="Aptos" w:hAnsi="Aptos" w:cs="Arial"/>
                <w:i/>
              </w:rPr>
              <w:t>interpretare</w:t>
            </w:r>
            <w:proofErr w:type="spellEnd"/>
            <w:r w:rsidRPr="003D79B5">
              <w:rPr>
                <w:rFonts w:ascii="Aptos" w:hAnsi="Aptos" w:cs="Arial"/>
                <w:i/>
              </w:rPr>
              <w:t xml:space="preserve"> </w:t>
            </w:r>
            <w:proofErr w:type="spellStart"/>
            <w:r w:rsidRPr="003D79B5">
              <w:rPr>
                <w:rFonts w:ascii="Aptos" w:hAnsi="Aptos" w:cs="Arial"/>
                <w:i/>
              </w:rPr>
              <w:t>și</w:t>
            </w:r>
            <w:proofErr w:type="spellEnd"/>
            <w:r w:rsidRPr="003D79B5">
              <w:rPr>
                <w:rFonts w:ascii="Aptos" w:hAnsi="Aptos" w:cs="Arial"/>
                <w:i/>
              </w:rPr>
              <w:t xml:space="preserve"> </w:t>
            </w:r>
            <w:proofErr w:type="spellStart"/>
            <w:r w:rsidRPr="003D79B5">
              <w:rPr>
                <w:rFonts w:ascii="Aptos" w:hAnsi="Aptos" w:cs="Arial"/>
                <w:i/>
              </w:rPr>
              <w:t>aplicare</w:t>
            </w:r>
            <w:proofErr w:type="spellEnd"/>
          </w:p>
          <w:p w14:paraId="25515F07" w14:textId="77777777" w:rsidR="000E0185" w:rsidRPr="003D79B5" w:rsidRDefault="000E0185" w:rsidP="000E0185">
            <w:pPr>
              <w:ind w:left="651"/>
              <w:jc w:val="both"/>
              <w:rPr>
                <w:rFonts w:ascii="Aptos" w:hAnsi="Aptos" w:cs="Arial"/>
              </w:rPr>
            </w:pPr>
            <w:r w:rsidRPr="003D79B5">
              <w:rPr>
                <w:rFonts w:ascii="Aptos" w:hAnsi="Aptos" w:cs="Arial"/>
              </w:rPr>
              <w:t xml:space="preserve">-   </w:t>
            </w:r>
            <w:proofErr w:type="spellStart"/>
            <w:r w:rsidRPr="003D79B5">
              <w:rPr>
                <w:rFonts w:ascii="Aptos" w:hAnsi="Aptos" w:cs="Arial"/>
              </w:rPr>
              <w:t>Prezintă</w:t>
            </w:r>
            <w:proofErr w:type="spellEnd"/>
            <w:r w:rsidRPr="003D79B5">
              <w:rPr>
                <w:rFonts w:ascii="Aptos" w:hAnsi="Aptos" w:cs="Arial"/>
              </w:rPr>
              <w:t xml:space="preserve"> </w:t>
            </w:r>
            <w:proofErr w:type="spellStart"/>
            <w:r w:rsidRPr="003D79B5">
              <w:rPr>
                <w:rFonts w:ascii="Aptos" w:hAnsi="Aptos" w:cs="Arial"/>
              </w:rPr>
              <w:t>și</w:t>
            </w:r>
            <w:proofErr w:type="spellEnd"/>
            <w:r w:rsidRPr="003D79B5">
              <w:rPr>
                <w:rFonts w:ascii="Aptos" w:hAnsi="Aptos" w:cs="Arial"/>
              </w:rPr>
              <w:t xml:space="preserve"> </w:t>
            </w:r>
            <w:proofErr w:type="spellStart"/>
            <w:r w:rsidRPr="003D79B5">
              <w:rPr>
                <w:rFonts w:ascii="Aptos" w:hAnsi="Aptos" w:cs="Arial"/>
              </w:rPr>
              <w:t>utilizează</w:t>
            </w:r>
            <w:proofErr w:type="spellEnd"/>
            <w:r w:rsidRPr="003D79B5">
              <w:rPr>
                <w:rFonts w:ascii="Aptos" w:hAnsi="Aptos" w:cs="Arial"/>
              </w:rPr>
              <w:t xml:space="preserve"> </w:t>
            </w:r>
            <w:proofErr w:type="spellStart"/>
            <w:r w:rsidRPr="003D79B5">
              <w:rPr>
                <w:rFonts w:ascii="Aptos" w:hAnsi="Aptos" w:cs="Arial"/>
              </w:rPr>
              <w:t>în</w:t>
            </w:r>
            <w:proofErr w:type="spellEnd"/>
            <w:r w:rsidRPr="003D79B5">
              <w:rPr>
                <w:rFonts w:ascii="Aptos" w:hAnsi="Aptos" w:cs="Arial"/>
              </w:rPr>
              <w:t xml:space="preserve"> mod </w:t>
            </w:r>
            <w:proofErr w:type="spellStart"/>
            <w:r w:rsidRPr="003D79B5">
              <w:rPr>
                <w:rFonts w:ascii="Aptos" w:hAnsi="Aptos" w:cs="Arial"/>
              </w:rPr>
              <w:t>adecvat</w:t>
            </w:r>
            <w:proofErr w:type="spellEnd"/>
            <w:r w:rsidRPr="003D79B5">
              <w:rPr>
                <w:rFonts w:ascii="Aptos" w:hAnsi="Aptos" w:cs="Arial"/>
              </w:rPr>
              <w:t xml:space="preserve"> </w:t>
            </w:r>
            <w:proofErr w:type="spellStart"/>
            <w:r w:rsidRPr="003D79B5">
              <w:rPr>
                <w:rFonts w:ascii="Aptos" w:hAnsi="Aptos" w:cs="Arial"/>
              </w:rPr>
              <w:t>cunoștințele</w:t>
            </w:r>
            <w:proofErr w:type="spellEnd"/>
            <w:r w:rsidRPr="003D79B5">
              <w:rPr>
                <w:rFonts w:ascii="Aptos" w:hAnsi="Aptos" w:cs="Arial"/>
              </w:rPr>
              <w:t xml:space="preserve"> </w:t>
            </w:r>
            <w:proofErr w:type="spellStart"/>
            <w:r w:rsidRPr="003D79B5">
              <w:rPr>
                <w:rFonts w:ascii="Aptos" w:hAnsi="Aptos" w:cs="Arial"/>
              </w:rPr>
              <w:t>dobândite</w:t>
            </w:r>
            <w:proofErr w:type="spellEnd"/>
            <w:r w:rsidRPr="003D79B5">
              <w:rPr>
                <w:rFonts w:ascii="Aptos" w:hAnsi="Aptos" w:cs="Arial"/>
              </w:rPr>
              <w:t>;</w:t>
            </w:r>
          </w:p>
          <w:p w14:paraId="3DB76137" w14:textId="77777777" w:rsidR="000E0185" w:rsidRPr="003D79B5" w:rsidRDefault="000E0185" w:rsidP="000E0185">
            <w:pPr>
              <w:ind w:left="651"/>
              <w:jc w:val="both"/>
              <w:rPr>
                <w:rFonts w:ascii="Aptos" w:hAnsi="Aptos" w:cs="Arial"/>
                <w:lang w:val="it-IT"/>
              </w:rPr>
            </w:pPr>
            <w:r w:rsidRPr="003D79B5">
              <w:rPr>
                <w:rFonts w:ascii="Aptos" w:hAnsi="Aptos" w:cs="Arial"/>
                <w:lang w:val="it-IT"/>
              </w:rPr>
              <w:t>-   Aplică și interpretează în mod corect, inclusiv critic, reglementările fiscale europene;</w:t>
            </w:r>
          </w:p>
          <w:p w14:paraId="6500343A" w14:textId="77777777" w:rsidR="000E0185" w:rsidRPr="003D79B5" w:rsidRDefault="000E0185" w:rsidP="000E0185">
            <w:pPr>
              <w:ind w:left="651"/>
              <w:jc w:val="both"/>
              <w:rPr>
                <w:rFonts w:ascii="Aptos" w:hAnsi="Aptos" w:cs="Arial"/>
                <w:lang w:val="it-IT"/>
              </w:rPr>
            </w:pPr>
            <w:r w:rsidRPr="003D79B5">
              <w:rPr>
                <w:rFonts w:ascii="Aptos" w:hAnsi="Aptos" w:cs="Arial"/>
                <w:lang w:val="it-IT"/>
              </w:rPr>
              <w:t>-   Evaluează compatibilitatea normelor fiscale naționale cu normele fiscale europene, inclusiv prin prisma evoluțiilor jurisprudențiale;</w:t>
            </w:r>
          </w:p>
          <w:p w14:paraId="6FCB339F" w14:textId="0BB5E911" w:rsidR="00DF5C86" w:rsidRPr="003D79B5" w:rsidRDefault="000E0185" w:rsidP="000E0185">
            <w:pPr>
              <w:ind w:left="651"/>
              <w:jc w:val="both"/>
              <w:rPr>
                <w:rFonts w:ascii="Aptos" w:hAnsi="Aptos" w:cs="Arial"/>
                <w:lang w:val="it-IT"/>
              </w:rPr>
            </w:pPr>
            <w:r w:rsidRPr="003D79B5">
              <w:rPr>
                <w:rFonts w:ascii="Aptos" w:hAnsi="Aptos" w:cs="Arial"/>
                <w:lang w:val="it-IT"/>
              </w:rPr>
              <w:t>-  Poate rezolva cazuri practice (spețe), prin aplicarea coroborată a normelor naționale și europene, a principiilor de drept fiscal și a hotărârilor judecătorești naționale și europene relevante.</w:t>
            </w:r>
          </w:p>
        </w:tc>
      </w:tr>
      <w:tr w:rsidR="00DF5C86" w:rsidRPr="008A3E20" w14:paraId="44077792" w14:textId="77777777" w:rsidTr="00A6083F">
        <w:trPr>
          <w:cantSplit/>
          <w:trHeight w:val="1403"/>
        </w:trPr>
        <w:tc>
          <w:tcPr>
            <w:tcW w:w="567" w:type="dxa"/>
            <w:textDirection w:val="btLr"/>
          </w:tcPr>
          <w:p w14:paraId="470B07FF" w14:textId="77777777" w:rsidR="00DF5C86" w:rsidRPr="003D79B5" w:rsidRDefault="002F2088" w:rsidP="002F2088">
            <w:pPr>
              <w:ind w:left="113" w:right="113"/>
              <w:jc w:val="center"/>
              <w:rPr>
                <w:rFonts w:ascii="Aptos" w:hAnsi="Aptos" w:cs="Arial"/>
                <w:lang w:val="ro-RO"/>
              </w:rPr>
            </w:pPr>
            <w:r w:rsidRPr="003D79B5">
              <w:rPr>
                <w:rFonts w:ascii="Aptos" w:hAnsi="Aptos" w:cs="Arial"/>
                <w:lang w:val="ro-RO"/>
              </w:rPr>
              <w:t>Competențe</w:t>
            </w:r>
            <w:r w:rsidR="00DF5C86" w:rsidRPr="003D79B5">
              <w:rPr>
                <w:rFonts w:ascii="Aptos" w:hAnsi="Aptos" w:cs="Arial"/>
                <w:lang w:val="ro-RO"/>
              </w:rPr>
              <w:t xml:space="preserve"> transversale</w:t>
            </w:r>
          </w:p>
        </w:tc>
        <w:tc>
          <w:tcPr>
            <w:tcW w:w="9333" w:type="dxa"/>
            <w:vAlign w:val="center"/>
          </w:tcPr>
          <w:p w14:paraId="56D8586F" w14:textId="77777777" w:rsidR="0012341A" w:rsidRPr="003D79B5" w:rsidRDefault="0012341A" w:rsidP="0012341A">
            <w:pPr>
              <w:pStyle w:val="ListParagraph"/>
              <w:numPr>
                <w:ilvl w:val="0"/>
                <w:numId w:val="20"/>
              </w:numPr>
              <w:ind w:left="1008"/>
              <w:contextualSpacing w:val="0"/>
              <w:jc w:val="both"/>
              <w:rPr>
                <w:rFonts w:ascii="Aptos" w:hAnsi="Aptos" w:cs="Arial"/>
                <w:lang w:val="it-IT"/>
              </w:rPr>
            </w:pPr>
            <w:r w:rsidRPr="003D79B5">
              <w:rPr>
                <w:rFonts w:ascii="Aptos" w:hAnsi="Aptos" w:cs="Arial"/>
                <w:lang w:val="it-IT"/>
              </w:rPr>
              <w:t>Abilitatea de a evalua riscurile și impactul economic și financiar al reglementărilor europene în materie fiscală, în cadrul gestiunii economice generale a unei instituții publice;</w:t>
            </w:r>
          </w:p>
          <w:p w14:paraId="4787E921" w14:textId="44C587F2" w:rsidR="00DF5C86" w:rsidRPr="003D79B5" w:rsidRDefault="0012341A" w:rsidP="0012341A">
            <w:pPr>
              <w:pStyle w:val="ListParagraph"/>
              <w:numPr>
                <w:ilvl w:val="0"/>
                <w:numId w:val="20"/>
              </w:numPr>
              <w:ind w:left="1008"/>
              <w:contextualSpacing w:val="0"/>
              <w:jc w:val="both"/>
              <w:rPr>
                <w:rFonts w:ascii="Aptos" w:hAnsi="Aptos"/>
                <w:lang w:val="it-IT"/>
              </w:rPr>
            </w:pPr>
            <w:r w:rsidRPr="003D79B5">
              <w:rPr>
                <w:rFonts w:ascii="Aptos" w:hAnsi="Aptos" w:cs="Arial"/>
                <w:lang w:val="it-IT"/>
              </w:rPr>
              <w:t>Abilitatea de a contribui la evaluarea, structurarea, gestionarea și dezvoltarea unei afaceri private (societate cu activitate transnațională, întreprindere individuală, persoană fizică) din perspectiva fiscală, la nivel european.</w:t>
            </w:r>
          </w:p>
        </w:tc>
      </w:tr>
    </w:tbl>
    <w:p w14:paraId="6D82FB0C" w14:textId="77777777" w:rsidR="00DF5C86" w:rsidRPr="003D79B5" w:rsidRDefault="00DF5C86" w:rsidP="00DF5C86">
      <w:pPr>
        <w:rPr>
          <w:rFonts w:ascii="Aptos" w:hAnsi="Aptos" w:cs="Arial"/>
          <w:b/>
          <w:lang w:val="ro-RO"/>
        </w:rPr>
      </w:pPr>
    </w:p>
    <w:p w14:paraId="54E5E17C" w14:textId="77777777" w:rsidR="00DF5C86" w:rsidRPr="003D79B5" w:rsidRDefault="00DF5C86" w:rsidP="00DF5C86">
      <w:pPr>
        <w:rPr>
          <w:rFonts w:ascii="Aptos" w:hAnsi="Aptos" w:cs="Arial"/>
          <w:b/>
          <w:lang w:val="ro-RO"/>
        </w:rPr>
      </w:pPr>
    </w:p>
    <w:p w14:paraId="12084211" w14:textId="3483D9F4" w:rsidR="00DF5C86" w:rsidRPr="003D79B5" w:rsidRDefault="00DF5C86" w:rsidP="00DF5C86">
      <w:pPr>
        <w:rPr>
          <w:rFonts w:ascii="Aptos" w:hAnsi="Aptos" w:cs="Arial"/>
          <w:lang w:val="ro-RO"/>
        </w:rPr>
      </w:pPr>
      <w:r w:rsidRPr="003D79B5">
        <w:rPr>
          <w:rFonts w:ascii="Aptos" w:hAnsi="Aptos" w:cs="Arial"/>
          <w:b/>
          <w:lang w:val="ro-RO"/>
        </w:rPr>
        <w:t xml:space="preserve">7. Obiectivele disciplinei </w:t>
      </w:r>
      <w:r w:rsidRPr="003D79B5">
        <w:rPr>
          <w:rFonts w:ascii="Aptos" w:hAnsi="Aptos" w:cs="Arial"/>
          <w:lang w:val="ro-RO"/>
        </w:rPr>
        <w:t>(reieşind din grila competenţelor specifice acumulate)</w:t>
      </w:r>
    </w:p>
    <w:p w14:paraId="414D2508" w14:textId="77777777" w:rsidR="001349C9" w:rsidRPr="003D79B5"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8A3E20" w14:paraId="32F52B0E" w14:textId="77777777" w:rsidTr="00A6083F">
        <w:tc>
          <w:tcPr>
            <w:tcW w:w="3227" w:type="dxa"/>
          </w:tcPr>
          <w:p w14:paraId="61DB4EDB" w14:textId="77777777" w:rsidR="00DF5C86" w:rsidRPr="003D79B5" w:rsidRDefault="00DF5C86" w:rsidP="00A6083F">
            <w:pPr>
              <w:rPr>
                <w:rFonts w:ascii="Aptos" w:hAnsi="Aptos" w:cs="Arial"/>
                <w:lang w:val="ro-RO"/>
              </w:rPr>
            </w:pPr>
            <w:r w:rsidRPr="003D79B5">
              <w:rPr>
                <w:rFonts w:ascii="Aptos" w:hAnsi="Aptos" w:cs="Arial"/>
                <w:lang w:val="ro-RO"/>
              </w:rPr>
              <w:t>7.1. Obiectivul general al disciplinei</w:t>
            </w:r>
          </w:p>
        </w:tc>
        <w:tc>
          <w:tcPr>
            <w:tcW w:w="6673" w:type="dxa"/>
          </w:tcPr>
          <w:p w14:paraId="356D08BE" w14:textId="77D7BE3A" w:rsidR="00DF5C86" w:rsidRPr="003D79B5" w:rsidRDefault="0012341A" w:rsidP="002A7E40">
            <w:pPr>
              <w:jc w:val="both"/>
              <w:rPr>
                <w:rFonts w:ascii="Aptos" w:hAnsi="Aptos" w:cs="Arial"/>
                <w:lang w:val="ro-RO"/>
              </w:rPr>
            </w:pPr>
            <w:r w:rsidRPr="003D79B5">
              <w:rPr>
                <w:rFonts w:ascii="Aptos" w:hAnsi="Aptos" w:cs="Arial"/>
                <w:lang w:val="ro-RO"/>
              </w:rPr>
              <w:t xml:space="preserve">Într-un plan general, obiectivul disciplinei </w:t>
            </w:r>
            <w:r w:rsidRPr="003D79B5">
              <w:rPr>
                <w:rFonts w:ascii="Aptos" w:hAnsi="Aptos" w:cs="Arial"/>
                <w:b/>
                <w:lang w:val="ro-RO"/>
              </w:rPr>
              <w:t xml:space="preserve">Introduction to European Tax Law (Introducere în dreptul fiscal european) </w:t>
            </w:r>
            <w:r w:rsidRPr="003D79B5">
              <w:rPr>
                <w:rFonts w:ascii="Aptos" w:hAnsi="Aptos" w:cs="Arial"/>
                <w:lang w:val="ro-RO"/>
              </w:rPr>
              <w:t>este acela de a contribui la îmbunătățirea portofoliului juridic al unui student al Facultăți de Drept prin acumularea de cunoștințe și dobândirea de aptitudini într-un domeniu de specialitate recent și extrem de important. Disciplina este predată în limba engleză tocmai pentru a facilita o mai bună înțelegere a domeniului dreptului fiscal european și pentru a stimula activitatea profesională și de cercetare în domeniu, la nivelul Uniunii Europene.</w:t>
            </w:r>
          </w:p>
        </w:tc>
      </w:tr>
      <w:tr w:rsidR="00984246" w:rsidRPr="008A3E20" w14:paraId="1F569BC1" w14:textId="77777777" w:rsidTr="00A6083F">
        <w:tc>
          <w:tcPr>
            <w:tcW w:w="3227" w:type="dxa"/>
          </w:tcPr>
          <w:p w14:paraId="02817D40" w14:textId="77777777" w:rsidR="00984246" w:rsidRPr="003D79B5" w:rsidRDefault="00984246" w:rsidP="00984246">
            <w:pPr>
              <w:rPr>
                <w:rFonts w:ascii="Aptos" w:hAnsi="Aptos" w:cs="Arial"/>
                <w:lang w:val="ro-RO"/>
              </w:rPr>
            </w:pPr>
            <w:r w:rsidRPr="003D79B5">
              <w:rPr>
                <w:rFonts w:ascii="Aptos" w:hAnsi="Aptos" w:cs="Arial"/>
                <w:lang w:val="ro-RO"/>
              </w:rPr>
              <w:t>7.2. Obiectivele specifice</w:t>
            </w:r>
          </w:p>
        </w:tc>
        <w:tc>
          <w:tcPr>
            <w:tcW w:w="6673" w:type="dxa"/>
            <w:tcBorders>
              <w:top w:val="single" w:sz="4" w:space="0" w:color="auto"/>
              <w:left w:val="single" w:sz="4" w:space="0" w:color="auto"/>
              <w:bottom w:val="single" w:sz="4" w:space="0" w:color="auto"/>
              <w:right w:val="single" w:sz="4" w:space="0" w:color="auto"/>
            </w:tcBorders>
            <w:shd w:val="clear" w:color="auto" w:fill="D9D9D9"/>
          </w:tcPr>
          <w:p w14:paraId="62C0F3D2" w14:textId="1E50BC69" w:rsidR="00984246" w:rsidRPr="003D79B5" w:rsidRDefault="0012341A" w:rsidP="00631C2F">
            <w:pPr>
              <w:jc w:val="both"/>
              <w:rPr>
                <w:rFonts w:ascii="Aptos" w:hAnsi="Aptos" w:cs="Arial"/>
                <w:lang w:val="it-IT"/>
              </w:rPr>
            </w:pPr>
            <w:r w:rsidRPr="003D79B5">
              <w:rPr>
                <w:rFonts w:ascii="Aptos" w:hAnsi="Aptos" w:cs="Arial"/>
                <w:lang w:val="ro-RO"/>
              </w:rPr>
              <w:t xml:space="preserve">Obiectivele specifice ale disciplinei </w:t>
            </w:r>
            <w:r w:rsidRPr="003D79B5">
              <w:rPr>
                <w:rFonts w:ascii="Aptos" w:hAnsi="Aptos" w:cs="Arial"/>
                <w:b/>
                <w:lang w:val="ro-RO"/>
              </w:rPr>
              <w:t>Introduction to European Tax Law (Introducere în dreptul fiscal european)</w:t>
            </w:r>
            <w:r w:rsidRPr="003D79B5">
              <w:rPr>
                <w:rFonts w:ascii="Aptos" w:hAnsi="Aptos" w:cs="Arial"/>
                <w:lang w:val="ro-RO"/>
              </w:rPr>
              <w:t xml:space="preserve"> sunt: dezvoltarea cunoștințelor de bază armonizarea legislativă la nivel european, în materie fiscală; dezvoltarea capacității de a înțelege și explica modul de funcționare a finanțelor publice europene, cu accent pe regulile juridice; dezvoltarea cunoștințelor referitoare la </w:t>
            </w:r>
            <w:r w:rsidRPr="003D79B5">
              <w:rPr>
                <w:rFonts w:ascii="Aptos" w:hAnsi="Aptos" w:cs="Arial"/>
                <w:i/>
                <w:lang w:val="ro-RO"/>
              </w:rPr>
              <w:t>acquis</w:t>
            </w:r>
            <w:r w:rsidRPr="003D79B5">
              <w:rPr>
                <w:rFonts w:ascii="Aptos" w:hAnsi="Aptos" w:cs="Arial"/>
                <w:lang w:val="ro-RO"/>
              </w:rPr>
              <w:t xml:space="preserve">-ul european în materia impozitelor indirecte, impozitelor directe și cooperării administrative între statele membre ale Uniunii Europene; dezvoltarea abilităților de analiză (critică), </w:t>
            </w:r>
            <w:r w:rsidRPr="003D79B5">
              <w:rPr>
                <w:rFonts w:ascii="Aptos" w:hAnsi="Aptos" w:cs="Arial"/>
                <w:lang w:val="ro-RO"/>
              </w:rPr>
              <w:lastRenderedPageBreak/>
              <w:t>interpretare și aplicare a legislației fiscale naționale și europene, respectiv a jurisprudenței fiscale naționale și europene relevante.</w:t>
            </w:r>
          </w:p>
        </w:tc>
      </w:tr>
    </w:tbl>
    <w:p w14:paraId="58A1F422" w14:textId="77777777" w:rsidR="00DF5C86" w:rsidRPr="003D79B5" w:rsidRDefault="00DF5C86" w:rsidP="00DF5C86">
      <w:pPr>
        <w:rPr>
          <w:rFonts w:ascii="Aptos" w:hAnsi="Aptos" w:cs="Arial"/>
          <w:lang w:val="ro-RO"/>
        </w:rPr>
      </w:pPr>
    </w:p>
    <w:p w14:paraId="581F9EF5" w14:textId="47927102" w:rsidR="00DF5C86" w:rsidRPr="003D79B5" w:rsidRDefault="00DF5C86" w:rsidP="00DF5C86">
      <w:pPr>
        <w:rPr>
          <w:rFonts w:ascii="Aptos" w:hAnsi="Aptos" w:cs="Arial"/>
          <w:b/>
          <w:lang w:val="ro-RO"/>
        </w:rPr>
      </w:pPr>
      <w:r w:rsidRPr="003D79B5">
        <w:rPr>
          <w:rFonts w:ascii="Aptos" w:hAnsi="Aptos" w:cs="Arial"/>
          <w:b/>
          <w:lang w:val="ro-RO"/>
        </w:rPr>
        <w:t>8. Conţinuturi</w:t>
      </w:r>
    </w:p>
    <w:p w14:paraId="5806300B" w14:textId="77777777" w:rsidR="001349C9" w:rsidRPr="003D79B5" w:rsidRDefault="001349C9" w:rsidP="00DF5C86">
      <w:pPr>
        <w:rPr>
          <w:rFonts w:ascii="Aptos" w:hAnsi="Aptos" w:cs="Arial"/>
          <w:b/>
          <w:lang w:val="ro-RO"/>
        </w:rPr>
      </w:pPr>
    </w:p>
    <w:tbl>
      <w:tblPr>
        <w:tblW w:w="8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2281"/>
        <w:gridCol w:w="2457"/>
      </w:tblGrid>
      <w:tr w:rsidR="00862D5E" w:rsidRPr="003D79B5" w14:paraId="45AE11E0" w14:textId="77777777" w:rsidTr="00862D5E">
        <w:tc>
          <w:tcPr>
            <w:tcW w:w="3712" w:type="dxa"/>
          </w:tcPr>
          <w:p w14:paraId="5021F857" w14:textId="77777777" w:rsidR="00862D5E" w:rsidRPr="003D79B5" w:rsidRDefault="00862D5E" w:rsidP="00A6083F">
            <w:pPr>
              <w:rPr>
                <w:rFonts w:ascii="Aptos" w:hAnsi="Aptos" w:cs="Arial"/>
                <w:b/>
                <w:lang w:val="it-IT"/>
              </w:rPr>
            </w:pPr>
            <w:r w:rsidRPr="003D79B5">
              <w:rPr>
                <w:rFonts w:ascii="Aptos" w:hAnsi="Aptos" w:cs="Arial"/>
                <w:b/>
                <w:lang w:val="ro-RO"/>
              </w:rPr>
              <w:t>8.1. SI</w:t>
            </w:r>
          </w:p>
        </w:tc>
        <w:tc>
          <w:tcPr>
            <w:tcW w:w="2281" w:type="dxa"/>
            <w:vAlign w:val="center"/>
          </w:tcPr>
          <w:p w14:paraId="42410B8E" w14:textId="77777777" w:rsidR="00862D5E" w:rsidRPr="003D79B5" w:rsidRDefault="00862D5E" w:rsidP="00A6083F">
            <w:pPr>
              <w:jc w:val="center"/>
              <w:rPr>
                <w:rFonts w:ascii="Aptos" w:hAnsi="Aptos" w:cs="Arial"/>
                <w:lang w:val="ro-RO"/>
              </w:rPr>
            </w:pPr>
            <w:r w:rsidRPr="003D79B5">
              <w:rPr>
                <w:rFonts w:ascii="Aptos" w:hAnsi="Aptos" w:cs="Arial"/>
                <w:lang w:val="ro-RO"/>
              </w:rPr>
              <w:t>Metode de predare</w:t>
            </w:r>
          </w:p>
        </w:tc>
        <w:tc>
          <w:tcPr>
            <w:tcW w:w="2457" w:type="dxa"/>
            <w:vAlign w:val="center"/>
          </w:tcPr>
          <w:p w14:paraId="54651A48" w14:textId="77777777" w:rsidR="00862D5E" w:rsidRPr="003D79B5" w:rsidRDefault="00862D5E" w:rsidP="00A6083F">
            <w:pPr>
              <w:jc w:val="center"/>
              <w:rPr>
                <w:rFonts w:ascii="Aptos" w:hAnsi="Aptos" w:cs="Arial"/>
                <w:lang w:val="ro-RO"/>
              </w:rPr>
            </w:pPr>
            <w:r w:rsidRPr="003D79B5">
              <w:rPr>
                <w:rFonts w:ascii="Aptos" w:hAnsi="Aptos" w:cs="Arial"/>
                <w:lang w:val="ro-RO"/>
              </w:rPr>
              <w:t>Observaţii</w:t>
            </w:r>
          </w:p>
        </w:tc>
      </w:tr>
      <w:tr w:rsidR="00862D5E" w:rsidRPr="003D79B5" w14:paraId="491F9796" w14:textId="77777777" w:rsidTr="00862D5E">
        <w:tc>
          <w:tcPr>
            <w:tcW w:w="3712" w:type="dxa"/>
          </w:tcPr>
          <w:p w14:paraId="41F0906C" w14:textId="31CE30F5" w:rsidR="00862D5E" w:rsidRPr="003D79B5" w:rsidRDefault="00862D5E" w:rsidP="005555C0">
            <w:pPr>
              <w:rPr>
                <w:rFonts w:ascii="Aptos" w:hAnsi="Aptos" w:cs="Arial"/>
                <w:lang w:val="fr-FR"/>
              </w:rPr>
            </w:pPr>
            <w:proofErr w:type="spellStart"/>
            <w:r w:rsidRPr="003D79B5">
              <w:rPr>
                <w:rFonts w:ascii="Aptos" w:eastAsia="Calibri" w:hAnsi="Aptos" w:cs="Arial"/>
                <w:lang w:val="fr-FR" w:eastAsia="en-US"/>
              </w:rPr>
              <w:t>Modulul</w:t>
            </w:r>
            <w:proofErr w:type="spellEnd"/>
            <w:r w:rsidRPr="003D79B5">
              <w:rPr>
                <w:rFonts w:ascii="Aptos" w:eastAsia="Calibri" w:hAnsi="Aptos" w:cs="Arial"/>
                <w:lang w:val="fr-FR" w:eastAsia="en-US"/>
              </w:rPr>
              <w:t xml:space="preserve"> 1: Construction of </w:t>
            </w:r>
            <w:proofErr w:type="spellStart"/>
            <w:r w:rsidRPr="003D79B5">
              <w:rPr>
                <w:rFonts w:ascii="Aptos" w:eastAsia="Calibri" w:hAnsi="Aptos" w:cs="Arial"/>
                <w:lang w:val="fr-FR" w:eastAsia="en-US"/>
              </w:rPr>
              <w:t>European</w:t>
            </w:r>
            <w:proofErr w:type="spellEnd"/>
            <w:r w:rsidRPr="003D79B5">
              <w:rPr>
                <w:rFonts w:ascii="Aptos" w:eastAsia="Calibri" w:hAnsi="Aptos" w:cs="Arial"/>
                <w:lang w:val="fr-FR" w:eastAsia="en-US"/>
              </w:rPr>
              <w:t xml:space="preserve"> </w:t>
            </w:r>
            <w:proofErr w:type="spellStart"/>
            <w:r w:rsidRPr="003D79B5">
              <w:rPr>
                <w:rFonts w:ascii="Aptos" w:eastAsia="Calibri" w:hAnsi="Aptos" w:cs="Arial"/>
                <w:lang w:val="fr-FR" w:eastAsia="en-US"/>
              </w:rPr>
              <w:t>Tax</w:t>
            </w:r>
            <w:proofErr w:type="spellEnd"/>
            <w:r w:rsidRPr="003D79B5">
              <w:rPr>
                <w:rFonts w:ascii="Aptos" w:eastAsia="Calibri" w:hAnsi="Aptos" w:cs="Arial"/>
                <w:lang w:val="fr-FR" w:eastAsia="en-US"/>
              </w:rPr>
              <w:t xml:space="preserve"> Law</w:t>
            </w:r>
          </w:p>
        </w:tc>
        <w:tc>
          <w:tcPr>
            <w:tcW w:w="2281" w:type="dxa"/>
            <w:vMerge w:val="restart"/>
            <w:vAlign w:val="center"/>
          </w:tcPr>
          <w:p w14:paraId="44E1551A" w14:textId="77777777" w:rsidR="00862D5E" w:rsidRPr="003D79B5" w:rsidRDefault="00862D5E" w:rsidP="005555C0">
            <w:pPr>
              <w:rPr>
                <w:rFonts w:ascii="Aptos" w:hAnsi="Aptos" w:cs="Arial"/>
                <w:lang w:val="ro-RO"/>
              </w:rPr>
            </w:pPr>
            <w:r w:rsidRPr="003D79B5">
              <w:rPr>
                <w:rFonts w:ascii="Aptos" w:hAnsi="Aptos" w:cs="Arial"/>
                <w:lang w:val="ro-RO"/>
              </w:rPr>
              <w:t xml:space="preserve">Suportul tutorial de curs va conține indicații privind parcurgerea textului, fixarea informațiilor și testarea cunoștințelor. </w:t>
            </w:r>
          </w:p>
        </w:tc>
        <w:tc>
          <w:tcPr>
            <w:tcW w:w="2457" w:type="dxa"/>
            <w:vAlign w:val="center"/>
          </w:tcPr>
          <w:p w14:paraId="138AA66E" w14:textId="77777777" w:rsidR="00862D5E" w:rsidRPr="003D79B5" w:rsidRDefault="00862D5E" w:rsidP="00322C2D">
            <w:pPr>
              <w:rPr>
                <w:rFonts w:ascii="Aptos" w:hAnsi="Aptos" w:cs="Arial"/>
                <w:lang w:val="ro-RO"/>
              </w:rPr>
            </w:pPr>
            <w:r w:rsidRPr="003D79B5">
              <w:rPr>
                <w:rFonts w:ascii="Aptos" w:hAnsi="Aptos" w:cs="Arial"/>
                <w:lang w:val="ro-RO"/>
              </w:rPr>
              <w:t>20% din timpul total aferent SI</w:t>
            </w:r>
          </w:p>
        </w:tc>
      </w:tr>
      <w:tr w:rsidR="00862D5E" w:rsidRPr="003D79B5" w14:paraId="6DC762EA" w14:textId="77777777" w:rsidTr="00862D5E">
        <w:tc>
          <w:tcPr>
            <w:tcW w:w="3712" w:type="dxa"/>
          </w:tcPr>
          <w:p w14:paraId="5C073639" w14:textId="3B7DC980" w:rsidR="00862D5E" w:rsidRPr="003D79B5" w:rsidRDefault="00862D5E" w:rsidP="00FF79E0">
            <w:pPr>
              <w:jc w:val="both"/>
              <w:rPr>
                <w:rFonts w:ascii="Aptos" w:hAnsi="Aptos" w:cs="Arial"/>
                <w:lang w:val="ro-RO"/>
              </w:rPr>
            </w:pPr>
            <w:r w:rsidRPr="003D79B5">
              <w:rPr>
                <w:rFonts w:ascii="Aptos" w:hAnsi="Aptos" w:cs="Arial"/>
                <w:lang w:val="ro-RO"/>
              </w:rPr>
              <w:t>Modulul 2: Direct Taxation of Companies and Individuals in the European Union</w:t>
            </w:r>
          </w:p>
        </w:tc>
        <w:tc>
          <w:tcPr>
            <w:tcW w:w="2281" w:type="dxa"/>
            <w:vMerge/>
          </w:tcPr>
          <w:p w14:paraId="1BB815A8" w14:textId="77777777" w:rsidR="00862D5E" w:rsidRPr="003D79B5" w:rsidRDefault="00862D5E" w:rsidP="00F05502">
            <w:pPr>
              <w:rPr>
                <w:rFonts w:ascii="Aptos" w:hAnsi="Aptos" w:cs="Arial"/>
                <w:lang w:val="ro-RO"/>
              </w:rPr>
            </w:pPr>
          </w:p>
        </w:tc>
        <w:tc>
          <w:tcPr>
            <w:tcW w:w="2457" w:type="dxa"/>
            <w:vAlign w:val="center"/>
          </w:tcPr>
          <w:p w14:paraId="0023858F" w14:textId="77777777" w:rsidR="00862D5E" w:rsidRPr="003D79B5" w:rsidRDefault="00862D5E" w:rsidP="00322C2D">
            <w:pPr>
              <w:rPr>
                <w:rFonts w:ascii="Aptos" w:hAnsi="Aptos" w:cs="Arial"/>
                <w:lang w:val="ro-RO"/>
              </w:rPr>
            </w:pPr>
            <w:r w:rsidRPr="003D79B5">
              <w:rPr>
                <w:rFonts w:ascii="Aptos" w:hAnsi="Aptos" w:cs="Arial"/>
                <w:lang w:val="ro-RO"/>
              </w:rPr>
              <w:t>30% din timpul total aferent SI</w:t>
            </w:r>
          </w:p>
        </w:tc>
      </w:tr>
      <w:tr w:rsidR="00862D5E" w:rsidRPr="003D79B5" w14:paraId="025A4435" w14:textId="77777777" w:rsidTr="00862D5E">
        <w:tc>
          <w:tcPr>
            <w:tcW w:w="3712" w:type="dxa"/>
          </w:tcPr>
          <w:p w14:paraId="152A8C0B" w14:textId="69A790EE" w:rsidR="00862D5E" w:rsidRPr="003D79B5" w:rsidRDefault="00862D5E" w:rsidP="005555C0">
            <w:pPr>
              <w:jc w:val="both"/>
              <w:rPr>
                <w:rFonts w:ascii="Aptos" w:hAnsi="Aptos" w:cs="Arial"/>
                <w:lang w:val="ro-RO"/>
              </w:rPr>
            </w:pPr>
            <w:r w:rsidRPr="003D79B5">
              <w:rPr>
                <w:rFonts w:ascii="Aptos" w:hAnsi="Aptos" w:cs="Arial"/>
                <w:lang w:val="ro-RO"/>
              </w:rPr>
              <w:t>Modulul 3: Indirect Taxation (I)</w:t>
            </w:r>
          </w:p>
        </w:tc>
        <w:tc>
          <w:tcPr>
            <w:tcW w:w="2281" w:type="dxa"/>
            <w:vMerge/>
          </w:tcPr>
          <w:p w14:paraId="1C4B4C8D" w14:textId="77777777" w:rsidR="00862D5E" w:rsidRPr="003D79B5" w:rsidRDefault="00862D5E" w:rsidP="00F05502">
            <w:pPr>
              <w:rPr>
                <w:rFonts w:ascii="Aptos" w:hAnsi="Aptos" w:cs="Arial"/>
                <w:lang w:val="ro-RO"/>
              </w:rPr>
            </w:pPr>
          </w:p>
        </w:tc>
        <w:tc>
          <w:tcPr>
            <w:tcW w:w="2457" w:type="dxa"/>
            <w:vAlign w:val="center"/>
          </w:tcPr>
          <w:p w14:paraId="0FC48CCD" w14:textId="77777777" w:rsidR="00862D5E" w:rsidRPr="003D79B5" w:rsidRDefault="00862D5E" w:rsidP="00322C2D">
            <w:pPr>
              <w:rPr>
                <w:rFonts w:ascii="Aptos" w:hAnsi="Aptos" w:cs="Arial"/>
                <w:lang w:val="ro-RO"/>
              </w:rPr>
            </w:pPr>
            <w:r w:rsidRPr="003D79B5">
              <w:rPr>
                <w:rFonts w:ascii="Aptos" w:hAnsi="Aptos" w:cs="Arial"/>
                <w:lang w:val="ro-RO"/>
              </w:rPr>
              <w:t>20% din timpul total aferent SI</w:t>
            </w:r>
          </w:p>
        </w:tc>
      </w:tr>
      <w:tr w:rsidR="00862D5E" w:rsidRPr="003D79B5" w14:paraId="56E438EE" w14:textId="77777777" w:rsidTr="00862D5E">
        <w:tc>
          <w:tcPr>
            <w:tcW w:w="3712" w:type="dxa"/>
          </w:tcPr>
          <w:p w14:paraId="5BF74D6A" w14:textId="2B45D953" w:rsidR="00862D5E" w:rsidRPr="003D79B5" w:rsidRDefault="00862D5E" w:rsidP="005555C0">
            <w:pPr>
              <w:rPr>
                <w:rFonts w:ascii="Aptos" w:hAnsi="Aptos" w:cs="Arial"/>
                <w:lang w:val="ro-RO"/>
              </w:rPr>
            </w:pPr>
            <w:r w:rsidRPr="003D79B5">
              <w:rPr>
                <w:rFonts w:ascii="Aptos" w:hAnsi="Aptos" w:cs="Arial"/>
                <w:lang w:val="ro-RO"/>
              </w:rPr>
              <w:t>Modulul 4: Indirect Taxation (II)</w:t>
            </w:r>
          </w:p>
        </w:tc>
        <w:tc>
          <w:tcPr>
            <w:tcW w:w="2281" w:type="dxa"/>
            <w:vMerge/>
          </w:tcPr>
          <w:p w14:paraId="3961C323" w14:textId="77777777" w:rsidR="00862D5E" w:rsidRPr="003D79B5" w:rsidRDefault="00862D5E" w:rsidP="00F05502">
            <w:pPr>
              <w:rPr>
                <w:rFonts w:ascii="Aptos" w:hAnsi="Aptos" w:cs="Arial"/>
                <w:lang w:val="ro-RO"/>
              </w:rPr>
            </w:pPr>
          </w:p>
        </w:tc>
        <w:tc>
          <w:tcPr>
            <w:tcW w:w="2457" w:type="dxa"/>
            <w:vAlign w:val="center"/>
          </w:tcPr>
          <w:p w14:paraId="7687E835" w14:textId="77777777" w:rsidR="00862D5E" w:rsidRPr="003D79B5" w:rsidRDefault="00862D5E" w:rsidP="00322C2D">
            <w:pPr>
              <w:rPr>
                <w:rFonts w:ascii="Aptos" w:hAnsi="Aptos" w:cs="Arial"/>
                <w:lang w:val="ro-RO"/>
              </w:rPr>
            </w:pPr>
            <w:r w:rsidRPr="003D79B5">
              <w:rPr>
                <w:rFonts w:ascii="Aptos" w:hAnsi="Aptos" w:cs="Arial"/>
                <w:lang w:val="ro-RO"/>
              </w:rPr>
              <w:t>20% din timpul total aferent SI</w:t>
            </w:r>
          </w:p>
        </w:tc>
      </w:tr>
      <w:tr w:rsidR="00862D5E" w:rsidRPr="003D79B5" w14:paraId="167F66A3" w14:textId="77777777" w:rsidTr="00862D5E">
        <w:tc>
          <w:tcPr>
            <w:tcW w:w="3712" w:type="dxa"/>
          </w:tcPr>
          <w:p w14:paraId="0C68F016" w14:textId="1C21726F" w:rsidR="00862D5E" w:rsidRPr="003D79B5" w:rsidRDefault="00862D5E" w:rsidP="00F05502">
            <w:pPr>
              <w:rPr>
                <w:rFonts w:ascii="Aptos" w:hAnsi="Aptos" w:cs="Arial"/>
                <w:lang w:val="ro-RO"/>
              </w:rPr>
            </w:pPr>
            <w:r w:rsidRPr="003D79B5">
              <w:rPr>
                <w:rFonts w:ascii="Aptos" w:hAnsi="Aptos" w:cs="Arial"/>
                <w:lang w:val="ro-RO"/>
              </w:rPr>
              <w:t>Modul 5: Protection of Taxpayers</w:t>
            </w:r>
            <w:r w:rsidRPr="003D79B5">
              <w:rPr>
                <w:rFonts w:ascii="Aptos" w:hAnsi="Aptos" w:cs="Arial"/>
              </w:rPr>
              <w:t xml:space="preserve">’ </w:t>
            </w:r>
            <w:r w:rsidRPr="003D79B5">
              <w:rPr>
                <w:rFonts w:ascii="Aptos" w:hAnsi="Aptos" w:cs="Arial"/>
                <w:lang w:val="ro-RO"/>
              </w:rPr>
              <w:t>Rights in the European Union</w:t>
            </w:r>
          </w:p>
        </w:tc>
        <w:tc>
          <w:tcPr>
            <w:tcW w:w="2281" w:type="dxa"/>
            <w:vMerge/>
          </w:tcPr>
          <w:p w14:paraId="30CF2581" w14:textId="77777777" w:rsidR="00862D5E" w:rsidRPr="003D79B5" w:rsidRDefault="00862D5E" w:rsidP="00F05502">
            <w:pPr>
              <w:rPr>
                <w:rFonts w:ascii="Aptos" w:hAnsi="Aptos" w:cs="Arial"/>
                <w:lang w:val="ro-RO"/>
              </w:rPr>
            </w:pPr>
          </w:p>
        </w:tc>
        <w:tc>
          <w:tcPr>
            <w:tcW w:w="2457" w:type="dxa"/>
            <w:vAlign w:val="center"/>
          </w:tcPr>
          <w:p w14:paraId="15DE9178" w14:textId="77777777" w:rsidR="00862D5E" w:rsidRPr="003D79B5" w:rsidRDefault="00862D5E" w:rsidP="00322C2D">
            <w:pPr>
              <w:rPr>
                <w:rFonts w:ascii="Aptos" w:hAnsi="Aptos" w:cs="Arial"/>
                <w:lang w:val="ro-RO"/>
              </w:rPr>
            </w:pPr>
            <w:r w:rsidRPr="003D79B5">
              <w:rPr>
                <w:rFonts w:ascii="Aptos" w:hAnsi="Aptos" w:cs="Arial"/>
                <w:lang w:val="ro-RO"/>
              </w:rPr>
              <w:t>10% din timpul total aferent SI</w:t>
            </w:r>
          </w:p>
        </w:tc>
      </w:tr>
      <w:tr w:rsidR="00862D5E" w:rsidRPr="003D79B5" w14:paraId="37CABF95" w14:textId="77777777" w:rsidTr="00862D5E">
        <w:tc>
          <w:tcPr>
            <w:tcW w:w="8450" w:type="dxa"/>
            <w:gridSpan w:val="3"/>
            <w:tcBorders>
              <w:top w:val="single" w:sz="4" w:space="0" w:color="auto"/>
              <w:left w:val="single" w:sz="4" w:space="0" w:color="auto"/>
              <w:bottom w:val="single" w:sz="4" w:space="0" w:color="auto"/>
              <w:right w:val="single" w:sz="4" w:space="0" w:color="auto"/>
            </w:tcBorders>
            <w:shd w:val="clear" w:color="auto" w:fill="D9D9D9"/>
          </w:tcPr>
          <w:p w14:paraId="6BEF406D" w14:textId="77777777" w:rsidR="003D79B5" w:rsidRPr="003D79B5" w:rsidRDefault="00862D5E" w:rsidP="003D79B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ptos" w:hAnsi="Aptos"/>
                <w:b/>
                <w:lang w:val="ro-RO" w:eastAsia="en-US"/>
              </w:rPr>
            </w:pPr>
            <w:r w:rsidRPr="003D79B5">
              <w:rPr>
                <w:rFonts w:ascii="Aptos" w:hAnsi="Aptos" w:cs="Arial"/>
                <w:b/>
                <w:lang w:val="ro-RO" w:eastAsia="en-US"/>
              </w:rPr>
              <w:t>Bibliografie</w:t>
            </w:r>
            <w:r w:rsidRPr="003D79B5">
              <w:rPr>
                <w:rFonts w:ascii="Aptos" w:hAnsi="Aptos" w:cs="Arial"/>
                <w:lang w:val="ro-RO" w:eastAsia="en-US"/>
              </w:rPr>
              <w:t xml:space="preserve">: </w:t>
            </w:r>
            <w:r w:rsidR="003D79B5" w:rsidRPr="003D79B5">
              <w:rPr>
                <w:rFonts w:ascii="Aptos" w:hAnsi="Aptos"/>
                <w:b/>
                <w:lang w:val="ro-RO" w:eastAsia="en-US"/>
              </w:rPr>
              <w:t xml:space="preserve">Bibliografie: </w:t>
            </w:r>
          </w:p>
          <w:p w14:paraId="78A1FB6D" w14:textId="77777777" w:rsidR="003D79B5" w:rsidRDefault="003D79B5" w:rsidP="003D79B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ptos" w:hAnsi="Aptos"/>
                <w:lang w:val="ro-RO" w:eastAsia="en-US"/>
              </w:rPr>
            </w:pPr>
            <w:r w:rsidRPr="003D79B5">
              <w:rPr>
                <w:rFonts w:ascii="Aptos" w:hAnsi="Aptos"/>
                <w:b/>
                <w:lang w:val="ro-RO" w:eastAsia="en-US"/>
              </w:rPr>
              <w:t>A. Cărți</w:t>
            </w:r>
            <w:r w:rsidRPr="003D79B5">
              <w:rPr>
                <w:rFonts w:ascii="Aptos" w:hAnsi="Aptos"/>
                <w:lang w:val="ro-RO" w:eastAsia="en-US"/>
              </w:rPr>
              <w:t>: P.J. Wattel, O. Marres, H. Vermeulen (ed.)</w:t>
            </w:r>
            <w:r w:rsidRPr="003D79B5">
              <w:rPr>
                <w:rFonts w:ascii="Aptos" w:hAnsi="Aptos"/>
                <w:lang w:eastAsia="en-US"/>
              </w:rPr>
              <w:t xml:space="preserve">, </w:t>
            </w:r>
            <w:r w:rsidRPr="003D79B5">
              <w:rPr>
                <w:rFonts w:ascii="Aptos" w:hAnsi="Aptos"/>
                <w:i/>
                <w:iCs/>
                <w:lang w:eastAsia="en-US"/>
              </w:rPr>
              <w:t>Terra/</w:t>
            </w:r>
            <w:proofErr w:type="spellStart"/>
            <w:r w:rsidRPr="003D79B5">
              <w:rPr>
                <w:rFonts w:ascii="Aptos" w:hAnsi="Aptos"/>
                <w:i/>
                <w:iCs/>
                <w:lang w:eastAsia="en-US"/>
              </w:rPr>
              <w:t>Wattel</w:t>
            </w:r>
            <w:proofErr w:type="spellEnd"/>
            <w:r w:rsidRPr="003D79B5">
              <w:rPr>
                <w:rFonts w:ascii="Aptos" w:hAnsi="Aptos"/>
                <w:i/>
                <w:iCs/>
                <w:lang w:eastAsia="en-US"/>
              </w:rPr>
              <w:t xml:space="preserve"> – European Tax Law</w:t>
            </w:r>
            <w:r w:rsidRPr="003D79B5">
              <w:rPr>
                <w:rFonts w:ascii="Aptos" w:hAnsi="Aptos"/>
                <w:lang w:eastAsia="en-US"/>
              </w:rPr>
              <w:t xml:space="preserve">, vol. I – </w:t>
            </w:r>
            <w:r w:rsidRPr="003D79B5">
              <w:rPr>
                <w:rFonts w:ascii="Aptos" w:hAnsi="Aptos"/>
                <w:i/>
                <w:iCs/>
                <w:lang w:eastAsia="en-US"/>
              </w:rPr>
              <w:t xml:space="preserve">General Topics and Direct Taxation, </w:t>
            </w:r>
            <w:r w:rsidRPr="003D79B5">
              <w:rPr>
                <w:rFonts w:ascii="Aptos" w:hAnsi="Aptos"/>
                <w:lang w:eastAsia="en-US"/>
              </w:rPr>
              <w:t xml:space="preserve">ed. a VII-a, Ed. Wolters Kluwer, Amsterdam, 2019; M. </w:t>
            </w:r>
            <w:proofErr w:type="spellStart"/>
            <w:r w:rsidRPr="003D79B5">
              <w:rPr>
                <w:rFonts w:ascii="Aptos" w:hAnsi="Aptos"/>
                <w:lang w:eastAsia="en-US"/>
              </w:rPr>
              <w:t>Lamensch</w:t>
            </w:r>
            <w:proofErr w:type="spellEnd"/>
            <w:r w:rsidRPr="003D79B5">
              <w:rPr>
                <w:rFonts w:ascii="Aptos" w:hAnsi="Aptos"/>
                <w:lang w:eastAsia="en-US"/>
              </w:rPr>
              <w:t xml:space="preserve">, M. </w:t>
            </w:r>
            <w:proofErr w:type="spellStart"/>
            <w:r w:rsidRPr="003D79B5">
              <w:rPr>
                <w:rFonts w:ascii="Aptos" w:hAnsi="Aptos"/>
                <w:lang w:eastAsia="en-US"/>
              </w:rPr>
              <w:t>Merkx</w:t>
            </w:r>
            <w:proofErr w:type="spellEnd"/>
            <w:r w:rsidRPr="003D79B5">
              <w:rPr>
                <w:rFonts w:ascii="Aptos" w:hAnsi="Aptos"/>
                <w:lang w:eastAsia="en-US"/>
              </w:rPr>
              <w:t xml:space="preserve">, M. Schippers, I. van den </w:t>
            </w:r>
            <w:proofErr w:type="spellStart"/>
            <w:r w:rsidRPr="003D79B5">
              <w:rPr>
                <w:rFonts w:ascii="Aptos" w:hAnsi="Aptos"/>
                <w:lang w:eastAsia="en-US"/>
              </w:rPr>
              <w:t>Eijnde</w:t>
            </w:r>
            <w:proofErr w:type="spellEnd"/>
            <w:r w:rsidRPr="003D79B5">
              <w:rPr>
                <w:rFonts w:ascii="Aptos" w:hAnsi="Aptos"/>
                <w:lang w:val="ro-RO" w:eastAsia="en-US"/>
              </w:rPr>
              <w:t xml:space="preserve"> (ed.)</w:t>
            </w:r>
            <w:r w:rsidRPr="003D79B5">
              <w:rPr>
                <w:rFonts w:ascii="Aptos" w:hAnsi="Aptos"/>
                <w:lang w:eastAsia="en-US"/>
              </w:rPr>
              <w:t xml:space="preserve">, </w:t>
            </w:r>
            <w:r w:rsidRPr="003D79B5">
              <w:rPr>
                <w:rFonts w:ascii="Aptos" w:hAnsi="Aptos"/>
                <w:i/>
                <w:iCs/>
                <w:lang w:eastAsia="en-US"/>
              </w:rPr>
              <w:t>Terra/</w:t>
            </w:r>
            <w:proofErr w:type="spellStart"/>
            <w:r w:rsidRPr="003D79B5">
              <w:rPr>
                <w:rFonts w:ascii="Aptos" w:hAnsi="Aptos"/>
                <w:i/>
                <w:iCs/>
                <w:lang w:eastAsia="en-US"/>
              </w:rPr>
              <w:t>Wattel</w:t>
            </w:r>
            <w:proofErr w:type="spellEnd"/>
            <w:r w:rsidRPr="003D79B5">
              <w:rPr>
                <w:rFonts w:ascii="Aptos" w:hAnsi="Aptos"/>
                <w:i/>
                <w:iCs/>
                <w:lang w:eastAsia="en-US"/>
              </w:rPr>
              <w:t xml:space="preserve"> – European Tax Law</w:t>
            </w:r>
            <w:r w:rsidRPr="003D79B5">
              <w:rPr>
                <w:rFonts w:ascii="Aptos" w:hAnsi="Aptos"/>
                <w:lang w:eastAsia="en-US"/>
              </w:rPr>
              <w:t xml:space="preserve">, vol. I – </w:t>
            </w:r>
            <w:r w:rsidRPr="003D79B5">
              <w:rPr>
                <w:rFonts w:ascii="Aptos" w:hAnsi="Aptos"/>
                <w:i/>
                <w:iCs/>
                <w:lang w:eastAsia="en-US"/>
              </w:rPr>
              <w:t xml:space="preserve">Indirect Taxation, </w:t>
            </w:r>
            <w:r w:rsidRPr="003D79B5">
              <w:rPr>
                <w:rFonts w:ascii="Aptos" w:hAnsi="Aptos"/>
                <w:lang w:eastAsia="en-US"/>
              </w:rPr>
              <w:t xml:space="preserve">ed. a VII-a, Ed. Wolters Kluwer, Amsterdam, 2022; C. </w:t>
            </w:r>
            <w:proofErr w:type="spellStart"/>
            <w:r w:rsidRPr="003D79B5">
              <w:rPr>
                <w:rFonts w:ascii="Aptos" w:hAnsi="Aptos"/>
                <w:lang w:eastAsia="en-US"/>
              </w:rPr>
              <w:t>Brokelind</w:t>
            </w:r>
            <w:proofErr w:type="spellEnd"/>
            <w:r w:rsidRPr="003D79B5">
              <w:rPr>
                <w:rFonts w:ascii="Aptos" w:hAnsi="Aptos"/>
                <w:lang w:eastAsia="en-US"/>
              </w:rPr>
              <w:t xml:space="preserve">, </w:t>
            </w:r>
            <w:r w:rsidRPr="003D79B5">
              <w:rPr>
                <w:rFonts w:ascii="Aptos" w:hAnsi="Aptos"/>
                <w:i/>
                <w:lang w:eastAsia="en-US"/>
              </w:rPr>
              <w:t>Towards a Homogeneous EC Direct Tax Law</w:t>
            </w:r>
            <w:r w:rsidRPr="003D79B5">
              <w:rPr>
                <w:rFonts w:ascii="Aptos" w:hAnsi="Aptos"/>
                <w:lang w:eastAsia="en-US"/>
              </w:rPr>
              <w:t xml:space="preserve">, Ed. IBFD, Amsterdam, 2007; W. Nykiel, M. </w:t>
            </w:r>
            <w:proofErr w:type="spellStart"/>
            <w:r w:rsidRPr="003D79B5">
              <w:rPr>
                <w:rFonts w:ascii="Aptos" w:hAnsi="Aptos"/>
                <w:lang w:eastAsia="en-US"/>
              </w:rPr>
              <w:t>Sęk</w:t>
            </w:r>
            <w:proofErr w:type="spellEnd"/>
            <w:r w:rsidRPr="003D79B5">
              <w:rPr>
                <w:rFonts w:ascii="Aptos" w:hAnsi="Aptos"/>
                <w:lang w:eastAsia="en-US"/>
              </w:rPr>
              <w:t xml:space="preserve">, </w:t>
            </w:r>
            <w:r w:rsidRPr="003D79B5">
              <w:rPr>
                <w:rFonts w:ascii="Aptos" w:hAnsi="Aptos"/>
                <w:i/>
                <w:lang w:eastAsia="en-US"/>
              </w:rPr>
              <w:t>Protection of Taxpayer’s Rights. European, International and Domestic Tax Law Perspective</w:t>
            </w:r>
            <w:r w:rsidRPr="003D79B5">
              <w:rPr>
                <w:rFonts w:ascii="Aptos" w:hAnsi="Aptos"/>
                <w:lang w:eastAsia="en-US"/>
              </w:rPr>
              <w:t xml:space="preserve">, Ed. </w:t>
            </w:r>
            <w:proofErr w:type="spellStart"/>
            <w:r w:rsidRPr="003D79B5">
              <w:rPr>
                <w:rFonts w:ascii="Aptos" w:hAnsi="Aptos"/>
                <w:lang w:eastAsia="en-US"/>
              </w:rPr>
              <w:t>Oficyna</w:t>
            </w:r>
            <w:proofErr w:type="spellEnd"/>
            <w:r w:rsidRPr="003D79B5">
              <w:rPr>
                <w:rFonts w:ascii="Aptos" w:hAnsi="Aptos"/>
                <w:lang w:eastAsia="en-US"/>
              </w:rPr>
              <w:t xml:space="preserve">, </w:t>
            </w:r>
            <w:proofErr w:type="spellStart"/>
            <w:r w:rsidRPr="003D79B5">
              <w:rPr>
                <w:rFonts w:ascii="Aptos" w:hAnsi="Aptos"/>
                <w:lang w:eastAsia="en-US"/>
              </w:rPr>
              <w:t>Varșovia</w:t>
            </w:r>
            <w:proofErr w:type="spellEnd"/>
            <w:r w:rsidRPr="003D79B5">
              <w:rPr>
                <w:rFonts w:ascii="Aptos" w:hAnsi="Aptos"/>
                <w:lang w:eastAsia="en-US"/>
              </w:rPr>
              <w:t xml:space="preserve">, 2009; G. Kofler, M. </w:t>
            </w:r>
            <w:proofErr w:type="spellStart"/>
            <w:r w:rsidRPr="003D79B5">
              <w:rPr>
                <w:rFonts w:ascii="Aptos" w:hAnsi="Aptos"/>
                <w:lang w:eastAsia="en-US"/>
              </w:rPr>
              <w:t>Poiares</w:t>
            </w:r>
            <w:proofErr w:type="spellEnd"/>
            <w:r w:rsidRPr="003D79B5">
              <w:rPr>
                <w:rFonts w:ascii="Aptos" w:hAnsi="Aptos"/>
                <w:lang w:eastAsia="en-US"/>
              </w:rPr>
              <w:t xml:space="preserve"> Maduro, P. Pistone, </w:t>
            </w:r>
            <w:r w:rsidRPr="003D79B5">
              <w:rPr>
                <w:rFonts w:ascii="Aptos" w:hAnsi="Aptos"/>
                <w:i/>
                <w:lang w:eastAsia="en-US"/>
              </w:rPr>
              <w:t>Human Rights and Taxation in Europe and the World</w:t>
            </w:r>
            <w:r w:rsidRPr="003D79B5">
              <w:rPr>
                <w:rFonts w:ascii="Aptos" w:hAnsi="Aptos"/>
                <w:lang w:eastAsia="en-US"/>
              </w:rPr>
              <w:t xml:space="preserve">, Ed. IBFD, Amsterdam, 2011; J.-M. Tirard, </w:t>
            </w:r>
            <w:r w:rsidRPr="003D79B5">
              <w:rPr>
                <w:rFonts w:ascii="Aptos" w:hAnsi="Aptos"/>
                <w:i/>
                <w:lang w:eastAsia="en-US"/>
              </w:rPr>
              <w:t xml:space="preserve">La </w:t>
            </w:r>
            <w:proofErr w:type="spellStart"/>
            <w:r w:rsidRPr="003D79B5">
              <w:rPr>
                <w:rFonts w:ascii="Aptos" w:hAnsi="Aptos"/>
                <w:i/>
                <w:lang w:eastAsia="en-US"/>
              </w:rPr>
              <w:t>fiscalité</w:t>
            </w:r>
            <w:proofErr w:type="spellEnd"/>
            <w:r w:rsidRPr="003D79B5">
              <w:rPr>
                <w:rFonts w:ascii="Aptos" w:hAnsi="Aptos"/>
                <w:i/>
                <w:lang w:eastAsia="en-US"/>
              </w:rPr>
              <w:t xml:space="preserve"> des sociétés dans </w:t>
            </w:r>
            <w:proofErr w:type="spellStart"/>
            <w:r w:rsidRPr="003D79B5">
              <w:rPr>
                <w:rFonts w:ascii="Aptos" w:hAnsi="Aptos"/>
                <w:i/>
                <w:lang w:eastAsia="en-US"/>
              </w:rPr>
              <w:t>l’UE</w:t>
            </w:r>
            <w:proofErr w:type="spellEnd"/>
            <w:r w:rsidRPr="003D79B5">
              <w:rPr>
                <w:rFonts w:ascii="Aptos" w:hAnsi="Aptos"/>
                <w:lang w:val="ro-RO" w:eastAsia="en-US"/>
              </w:rPr>
              <w:t xml:space="preserve"> (8éme édition), Ed. Groupe Revue Fiduciaire, Levallois, 2010; A.P. Dourado, R. da Palma Borges, </w:t>
            </w:r>
            <w:r w:rsidRPr="003D79B5">
              <w:rPr>
                <w:rFonts w:ascii="Aptos" w:hAnsi="Aptos"/>
                <w:i/>
                <w:lang w:val="ro-RO" w:eastAsia="en-US"/>
              </w:rPr>
              <w:t>The Acte Clair in EC Direct Tax Law</w:t>
            </w:r>
            <w:r w:rsidRPr="003D79B5">
              <w:rPr>
                <w:rFonts w:ascii="Aptos" w:hAnsi="Aptos"/>
                <w:lang w:val="ro-RO" w:eastAsia="en-US"/>
              </w:rPr>
              <w:t xml:space="preserve">, Ed. IBFD, Amsterdam, 2008; D. Webber, </w:t>
            </w:r>
            <w:r w:rsidRPr="003D79B5">
              <w:rPr>
                <w:rFonts w:ascii="Aptos" w:hAnsi="Aptos"/>
                <w:i/>
                <w:lang w:val="ro-RO" w:eastAsia="en-US"/>
              </w:rPr>
              <w:t>Traditional and Alternative Routes to European Tax Integration</w:t>
            </w:r>
            <w:r w:rsidRPr="003D79B5">
              <w:rPr>
                <w:rFonts w:ascii="Aptos" w:hAnsi="Aptos"/>
                <w:lang w:val="ro-RO" w:eastAsia="en-US"/>
              </w:rPr>
              <w:t xml:space="preserve">, Ed. IBFD, Amsterdam, 2010; P. Pistone, </w:t>
            </w:r>
            <w:r w:rsidRPr="003D79B5">
              <w:rPr>
                <w:rFonts w:ascii="Aptos" w:hAnsi="Aptos"/>
                <w:i/>
                <w:lang w:val="ro-RO" w:eastAsia="en-US"/>
              </w:rPr>
              <w:t>Legal Remedies in European Tax Law</w:t>
            </w:r>
            <w:r w:rsidRPr="003D79B5">
              <w:rPr>
                <w:rFonts w:ascii="Aptos" w:hAnsi="Aptos"/>
                <w:lang w:val="ro-RO" w:eastAsia="en-US"/>
              </w:rPr>
              <w:t xml:space="preserve">, Ed. IBFD, Amsterdam, 2009; D. Webber, </w:t>
            </w:r>
            <w:r w:rsidRPr="003D79B5">
              <w:rPr>
                <w:rFonts w:ascii="Aptos" w:hAnsi="Aptos"/>
                <w:i/>
                <w:lang w:val="ro-RO" w:eastAsia="en-US"/>
              </w:rPr>
              <w:t>European Direct Taxation. Case Law and Regulations</w:t>
            </w:r>
            <w:r w:rsidRPr="003D79B5">
              <w:rPr>
                <w:rFonts w:ascii="Aptos" w:hAnsi="Aptos"/>
                <w:lang w:val="ro-RO" w:eastAsia="en-US"/>
              </w:rPr>
              <w:t xml:space="preserve">, Ed. Wolters Kluwer, Amsterdam, 2011; B.J.M. Terra, J. Kajus, </w:t>
            </w:r>
            <w:r w:rsidRPr="003D79B5">
              <w:rPr>
                <w:rFonts w:ascii="Aptos" w:hAnsi="Aptos"/>
                <w:i/>
                <w:lang w:val="ro-RO" w:eastAsia="en-US"/>
              </w:rPr>
              <w:t>Introduction to European VAT</w:t>
            </w:r>
            <w:r w:rsidRPr="003D79B5">
              <w:rPr>
                <w:rFonts w:ascii="Aptos" w:hAnsi="Aptos"/>
                <w:lang w:val="ro-RO" w:eastAsia="en-US"/>
              </w:rPr>
              <w:t xml:space="preserve">, Ed. IBFD, Amsterdam, 2012; F. Annacondia (ed.), </w:t>
            </w:r>
            <w:r w:rsidRPr="003D79B5">
              <w:rPr>
                <w:rFonts w:ascii="Aptos" w:hAnsi="Aptos"/>
                <w:i/>
                <w:lang w:val="ro-RO" w:eastAsia="en-US"/>
              </w:rPr>
              <w:t>EU VAT Compass 2018/2019</w:t>
            </w:r>
            <w:r w:rsidRPr="003D79B5">
              <w:rPr>
                <w:rFonts w:ascii="Aptos" w:hAnsi="Aptos"/>
                <w:lang w:val="ro-RO" w:eastAsia="en-US"/>
              </w:rPr>
              <w:t xml:space="preserve">, Ed. IBFD, Amsterdam, 2018. </w:t>
            </w:r>
          </w:p>
          <w:p w14:paraId="5276448A" w14:textId="091152CB" w:rsidR="00862D5E" w:rsidRPr="003D79B5" w:rsidRDefault="003D79B5" w:rsidP="003D79B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ptos" w:hAnsi="Aptos"/>
                <w:lang w:val="ro-RO" w:eastAsia="en-US"/>
              </w:rPr>
            </w:pPr>
            <w:r w:rsidRPr="003D79B5">
              <w:rPr>
                <w:rFonts w:ascii="Aptos" w:hAnsi="Aptos"/>
                <w:b/>
                <w:lang w:val="ro-RO" w:eastAsia="en-US"/>
              </w:rPr>
              <w:t>B.</w:t>
            </w:r>
            <w:r w:rsidRPr="003D79B5">
              <w:rPr>
                <w:rFonts w:ascii="Aptos" w:hAnsi="Aptos"/>
                <w:lang w:val="ro-RO" w:eastAsia="en-US"/>
              </w:rPr>
              <w:t xml:space="preserve"> </w:t>
            </w:r>
            <w:r w:rsidRPr="003D79B5">
              <w:rPr>
                <w:rFonts w:ascii="Aptos" w:hAnsi="Aptos"/>
                <w:b/>
                <w:lang w:val="ro-RO" w:eastAsia="en-US"/>
              </w:rPr>
              <w:t>Articole</w:t>
            </w:r>
            <w:r w:rsidRPr="003D79B5">
              <w:rPr>
                <w:rFonts w:ascii="Aptos" w:hAnsi="Aptos"/>
                <w:lang w:val="ro-RO" w:eastAsia="en-US"/>
              </w:rPr>
              <w:t xml:space="preserve">: A. Horvath, </w:t>
            </w:r>
            <w:r w:rsidRPr="003D79B5">
              <w:rPr>
                <w:rFonts w:ascii="Aptos" w:hAnsi="Aptos"/>
                <w:i/>
                <w:lang w:val="ro-RO" w:eastAsia="en-US"/>
              </w:rPr>
              <w:t>The Taxation of Intellectual Property in the European Union</w:t>
            </w:r>
            <w:r w:rsidRPr="003D79B5">
              <w:rPr>
                <w:rFonts w:ascii="Aptos" w:hAnsi="Aptos"/>
                <w:lang w:val="ro-RO" w:eastAsia="en-US"/>
              </w:rPr>
              <w:t xml:space="preserve">, Cluj Tax Forum Journal no. 5/2018, pp. 7-16; C.F. Costaș, </w:t>
            </w:r>
            <w:r w:rsidRPr="003D79B5">
              <w:rPr>
                <w:rFonts w:ascii="Aptos" w:hAnsi="Aptos"/>
                <w:i/>
                <w:lang w:val="ro-RO" w:eastAsia="en-US"/>
              </w:rPr>
              <w:t>Access to File: Right(s) of the Defence or Defence of the Right(s)?</w:t>
            </w:r>
            <w:r w:rsidRPr="003D79B5">
              <w:rPr>
                <w:rFonts w:ascii="Aptos" w:hAnsi="Aptos"/>
                <w:lang w:val="ro-RO" w:eastAsia="en-US"/>
              </w:rPr>
              <w:t xml:space="preserve">, Cluj Tax Forum Journal no. 5/2018, pp. 17-23; I. Galiș, </w:t>
            </w:r>
            <w:r w:rsidRPr="003D79B5">
              <w:rPr>
                <w:rFonts w:ascii="Aptos" w:hAnsi="Aptos"/>
                <w:i/>
                <w:lang w:val="ro-RO" w:eastAsia="en-US"/>
              </w:rPr>
              <w:t>Overview of the Administrative Cooperation Rules Within the European Union</w:t>
            </w:r>
            <w:r w:rsidRPr="003D79B5">
              <w:rPr>
                <w:rFonts w:ascii="Aptos" w:hAnsi="Aptos"/>
                <w:lang w:val="ro-RO" w:eastAsia="en-US"/>
              </w:rPr>
              <w:t xml:space="preserve">, Cluj Tax Forum Journal no. 4/2018, pp. 5-23; M. González Aparicio, </w:t>
            </w:r>
            <w:r w:rsidRPr="003D79B5">
              <w:rPr>
                <w:rFonts w:ascii="Aptos" w:hAnsi="Aptos"/>
                <w:i/>
                <w:lang w:val="ro-RO" w:eastAsia="en-US"/>
              </w:rPr>
              <w:t>Taxation of the Bitcoin on the Value Added Tax: Particularly, Judgement of the European Court in Case C-264/14 (22 October 2015)</w:t>
            </w:r>
            <w:r w:rsidRPr="003D79B5">
              <w:rPr>
                <w:rFonts w:ascii="Aptos" w:hAnsi="Aptos"/>
                <w:lang w:val="ro-RO" w:eastAsia="en-US"/>
              </w:rPr>
              <w:t xml:space="preserve">, Cluj Tax Forum Journal no. 3/2018, pp. 5-12; C.F. Costaș, </w:t>
            </w:r>
            <w:r w:rsidRPr="003D79B5">
              <w:rPr>
                <w:rFonts w:ascii="Aptos" w:hAnsi="Aptos"/>
                <w:i/>
                <w:lang w:val="ro-RO" w:eastAsia="en-US"/>
              </w:rPr>
              <w:t>Questions Concerning Investigative Powers and Sanctions in Cases of VAT Frauds. A Comparative Analysis</w:t>
            </w:r>
            <w:r w:rsidRPr="003D79B5">
              <w:rPr>
                <w:rFonts w:ascii="Aptos" w:hAnsi="Aptos"/>
                <w:lang w:val="ro-RO" w:eastAsia="en-US"/>
              </w:rPr>
              <w:t xml:space="preserve">, Cluj Tax Forum Journal no. 2/2018, pp. 5-24; P. Mastellone, </w:t>
            </w:r>
            <w:r w:rsidRPr="003D79B5">
              <w:rPr>
                <w:rFonts w:ascii="Aptos" w:hAnsi="Aptos"/>
                <w:i/>
                <w:lang w:eastAsia="en-US"/>
              </w:rPr>
              <w:t>Taxpayers’ Procedural Rights in the Transnational Tax Assessment: State of Art and Future Perspectives</w:t>
            </w:r>
            <w:r w:rsidRPr="003D79B5">
              <w:rPr>
                <w:rFonts w:ascii="Aptos" w:hAnsi="Aptos"/>
                <w:lang w:eastAsia="en-US"/>
              </w:rPr>
              <w:t>, Cluj Tax Forum Journal no. 1/2018, pp. 5-24.</w:t>
            </w:r>
          </w:p>
        </w:tc>
      </w:tr>
      <w:tr w:rsidR="00862D5E" w:rsidRPr="003D79B5" w14:paraId="253F6D3E" w14:textId="77777777" w:rsidTr="00862D5E">
        <w:tc>
          <w:tcPr>
            <w:tcW w:w="3712" w:type="dxa"/>
          </w:tcPr>
          <w:p w14:paraId="3F70437A" w14:textId="77777777" w:rsidR="00862D5E" w:rsidRPr="003D79B5" w:rsidRDefault="00862D5E" w:rsidP="00383D98">
            <w:pPr>
              <w:rPr>
                <w:rFonts w:ascii="Aptos" w:hAnsi="Aptos" w:cs="Arial"/>
                <w:b/>
                <w:lang w:val="ro-RO"/>
              </w:rPr>
            </w:pPr>
            <w:r w:rsidRPr="003D79B5">
              <w:rPr>
                <w:rFonts w:ascii="Aptos" w:hAnsi="Aptos" w:cs="Arial"/>
                <w:b/>
                <w:lang w:val="ro-RO"/>
              </w:rPr>
              <w:t>8.2. AT</w:t>
            </w:r>
          </w:p>
        </w:tc>
        <w:tc>
          <w:tcPr>
            <w:tcW w:w="2281" w:type="dxa"/>
            <w:vAlign w:val="center"/>
          </w:tcPr>
          <w:p w14:paraId="50D97BC8" w14:textId="77777777" w:rsidR="00862D5E" w:rsidRPr="003D79B5" w:rsidRDefault="00862D5E" w:rsidP="00383D98">
            <w:pPr>
              <w:jc w:val="center"/>
              <w:rPr>
                <w:rFonts w:ascii="Aptos" w:hAnsi="Aptos" w:cs="Arial"/>
                <w:lang w:val="ro-RO"/>
              </w:rPr>
            </w:pPr>
            <w:r w:rsidRPr="003D79B5">
              <w:rPr>
                <w:rFonts w:ascii="Aptos" w:hAnsi="Aptos" w:cs="Arial"/>
                <w:lang w:val="ro-RO"/>
              </w:rPr>
              <w:t>Metode de predare-învăţare</w:t>
            </w:r>
          </w:p>
        </w:tc>
        <w:tc>
          <w:tcPr>
            <w:tcW w:w="2457" w:type="dxa"/>
            <w:vAlign w:val="center"/>
          </w:tcPr>
          <w:p w14:paraId="426E870A" w14:textId="77777777" w:rsidR="00862D5E" w:rsidRPr="003D79B5" w:rsidRDefault="00862D5E" w:rsidP="00383D98">
            <w:pPr>
              <w:jc w:val="center"/>
              <w:rPr>
                <w:rFonts w:ascii="Aptos" w:hAnsi="Aptos" w:cs="Arial"/>
                <w:lang w:val="ro-RO"/>
              </w:rPr>
            </w:pPr>
            <w:r w:rsidRPr="003D79B5">
              <w:rPr>
                <w:rFonts w:ascii="Aptos" w:hAnsi="Aptos" w:cs="Arial"/>
                <w:lang w:val="ro-RO"/>
              </w:rPr>
              <w:t>Observaţii</w:t>
            </w:r>
          </w:p>
        </w:tc>
      </w:tr>
      <w:tr w:rsidR="00862D5E" w:rsidRPr="008A3E20" w14:paraId="2FFEFA22" w14:textId="77777777" w:rsidTr="00862D5E">
        <w:tc>
          <w:tcPr>
            <w:tcW w:w="3712" w:type="dxa"/>
          </w:tcPr>
          <w:p w14:paraId="1B3D2A17" w14:textId="212F3E19" w:rsidR="00862D5E" w:rsidRPr="003D79B5" w:rsidRDefault="00862D5E" w:rsidP="00B80293">
            <w:pPr>
              <w:autoSpaceDE w:val="0"/>
              <w:autoSpaceDN w:val="0"/>
              <w:ind w:left="34"/>
              <w:jc w:val="both"/>
              <w:rPr>
                <w:rFonts w:ascii="Aptos" w:hAnsi="Aptos" w:cs="Arial"/>
                <w:lang w:val="ro-RO"/>
              </w:rPr>
            </w:pPr>
            <w:r w:rsidRPr="003D79B5">
              <w:rPr>
                <w:rFonts w:ascii="Aptos" w:hAnsi="Aptos" w:cs="Arial"/>
                <w:b/>
                <w:lang w:val="ro-RO"/>
              </w:rPr>
              <w:t xml:space="preserve">AT nr. 1. </w:t>
            </w:r>
            <w:r w:rsidRPr="003D79B5">
              <w:rPr>
                <w:rFonts w:ascii="Aptos" w:hAnsi="Aptos" w:cs="Arial"/>
                <w:lang w:val="ro-RO"/>
              </w:rPr>
              <w:t>Prezentarea procesului de construcție a dreptului fiscal european și a principalelor evoluții în materia impozitelor indirecte (societăți, persoane fizice)</w:t>
            </w:r>
          </w:p>
        </w:tc>
        <w:tc>
          <w:tcPr>
            <w:tcW w:w="2281" w:type="dxa"/>
          </w:tcPr>
          <w:p w14:paraId="148461B1" w14:textId="77777777" w:rsidR="00862D5E" w:rsidRPr="003D79B5" w:rsidRDefault="00862D5E" w:rsidP="001B3146">
            <w:pPr>
              <w:autoSpaceDE w:val="0"/>
              <w:autoSpaceDN w:val="0"/>
              <w:ind w:left="34"/>
              <w:rPr>
                <w:rFonts w:ascii="Aptos" w:hAnsi="Aptos" w:cs="Arial"/>
                <w:lang w:val="ro-RO"/>
              </w:rPr>
            </w:pPr>
            <w:proofErr w:type="spellStart"/>
            <w:r w:rsidRPr="003D79B5">
              <w:rPr>
                <w:rFonts w:ascii="Aptos" w:hAnsi="Aptos" w:cs="Arial"/>
              </w:rPr>
              <w:t>Prelegere</w:t>
            </w:r>
            <w:proofErr w:type="spellEnd"/>
            <w:r w:rsidRPr="003D79B5">
              <w:rPr>
                <w:rFonts w:ascii="Aptos" w:hAnsi="Aptos" w:cs="Arial"/>
              </w:rPr>
              <w:t xml:space="preserve"> </w:t>
            </w:r>
            <w:proofErr w:type="spellStart"/>
            <w:r w:rsidRPr="003D79B5">
              <w:rPr>
                <w:rFonts w:ascii="Aptos" w:hAnsi="Aptos" w:cs="Arial"/>
              </w:rPr>
              <w:t>interactivă</w:t>
            </w:r>
            <w:proofErr w:type="spellEnd"/>
            <w:r w:rsidRPr="003D79B5">
              <w:rPr>
                <w:rFonts w:ascii="Aptos" w:hAnsi="Aptos" w:cs="Arial"/>
              </w:rPr>
              <w:t xml:space="preserve">, brainstorming, </w:t>
            </w:r>
            <w:proofErr w:type="spellStart"/>
            <w:r w:rsidRPr="003D79B5">
              <w:rPr>
                <w:rFonts w:ascii="Aptos" w:hAnsi="Aptos" w:cs="Arial"/>
              </w:rPr>
              <w:t>învăţare</w:t>
            </w:r>
            <w:proofErr w:type="spellEnd"/>
            <w:r w:rsidRPr="003D79B5">
              <w:rPr>
                <w:rFonts w:ascii="Aptos" w:hAnsi="Aptos" w:cs="Arial"/>
              </w:rPr>
              <w:t xml:space="preserve"> </w:t>
            </w:r>
            <w:proofErr w:type="spellStart"/>
            <w:r w:rsidRPr="003D79B5">
              <w:rPr>
                <w:rFonts w:ascii="Aptos" w:hAnsi="Aptos" w:cs="Arial"/>
              </w:rPr>
              <w:t>dirijată</w:t>
            </w:r>
            <w:proofErr w:type="spellEnd"/>
            <w:r w:rsidRPr="003D79B5">
              <w:rPr>
                <w:rFonts w:ascii="Aptos" w:hAnsi="Aptos" w:cs="Arial"/>
              </w:rPr>
              <w:t>.</w:t>
            </w:r>
          </w:p>
        </w:tc>
        <w:tc>
          <w:tcPr>
            <w:tcW w:w="2457" w:type="dxa"/>
          </w:tcPr>
          <w:p w14:paraId="35A472A8" w14:textId="77777777" w:rsidR="00862D5E" w:rsidRPr="003D79B5" w:rsidRDefault="00862D5E" w:rsidP="00504EEA">
            <w:pPr>
              <w:jc w:val="both"/>
              <w:rPr>
                <w:rFonts w:ascii="Aptos" w:hAnsi="Aptos" w:cs="Arial"/>
                <w:lang w:val="ro-RO"/>
              </w:rPr>
            </w:pPr>
            <w:r w:rsidRPr="003D79B5">
              <w:rPr>
                <w:rFonts w:ascii="Aptos" w:hAnsi="Aptos" w:cs="Arial"/>
                <w:lang w:val="ro-RO"/>
              </w:rPr>
              <w:t>Se va pune accentul pe implicarea activă a studenților în dezbateri.</w:t>
            </w:r>
          </w:p>
          <w:p w14:paraId="00CF6915" w14:textId="77777777" w:rsidR="00862D5E" w:rsidRPr="003D79B5" w:rsidRDefault="00862D5E" w:rsidP="00504EEA">
            <w:pPr>
              <w:jc w:val="both"/>
              <w:rPr>
                <w:rFonts w:ascii="Aptos" w:hAnsi="Aptos" w:cs="Arial"/>
                <w:lang w:val="ro-RO"/>
              </w:rPr>
            </w:pPr>
          </w:p>
        </w:tc>
      </w:tr>
      <w:tr w:rsidR="00862D5E" w:rsidRPr="008A3E20" w14:paraId="26561024" w14:textId="77777777" w:rsidTr="00862D5E">
        <w:tc>
          <w:tcPr>
            <w:tcW w:w="3712" w:type="dxa"/>
          </w:tcPr>
          <w:p w14:paraId="0F351E5F" w14:textId="5166C915" w:rsidR="00862D5E" w:rsidRPr="003D79B5" w:rsidRDefault="00862D5E" w:rsidP="00B80293">
            <w:pPr>
              <w:autoSpaceDE w:val="0"/>
              <w:autoSpaceDN w:val="0"/>
              <w:ind w:left="34"/>
              <w:jc w:val="both"/>
              <w:rPr>
                <w:rFonts w:ascii="Aptos" w:hAnsi="Aptos" w:cs="Arial"/>
                <w:lang w:val="ro-RO"/>
              </w:rPr>
            </w:pPr>
            <w:r w:rsidRPr="003D79B5">
              <w:rPr>
                <w:rFonts w:ascii="Aptos" w:hAnsi="Aptos" w:cs="Arial"/>
                <w:b/>
                <w:lang w:val="ro-RO"/>
              </w:rPr>
              <w:t xml:space="preserve">AT nr. 2. </w:t>
            </w:r>
            <w:r w:rsidRPr="003D79B5">
              <w:rPr>
                <w:rFonts w:ascii="Aptos" w:hAnsi="Aptos" w:cs="Arial"/>
                <w:lang w:val="ro-RO"/>
              </w:rPr>
              <w:t>Prezentarea principalelor evoluții în materia impozitelor indirecte (TVA, accize, taxe vamale), prin prisma jurisprudenței Curții de Justiție a Uniunii Europene</w:t>
            </w:r>
          </w:p>
        </w:tc>
        <w:tc>
          <w:tcPr>
            <w:tcW w:w="2281" w:type="dxa"/>
          </w:tcPr>
          <w:p w14:paraId="03DAEB7F" w14:textId="77777777" w:rsidR="00862D5E" w:rsidRPr="003D79B5" w:rsidRDefault="00862D5E" w:rsidP="00383D98">
            <w:pPr>
              <w:autoSpaceDE w:val="0"/>
              <w:autoSpaceDN w:val="0"/>
              <w:ind w:left="34"/>
              <w:rPr>
                <w:rFonts w:ascii="Aptos" w:hAnsi="Aptos" w:cs="Arial"/>
                <w:lang w:val="ro-RO"/>
              </w:rPr>
            </w:pPr>
            <w:proofErr w:type="spellStart"/>
            <w:r w:rsidRPr="003D79B5">
              <w:rPr>
                <w:rFonts w:ascii="Aptos" w:hAnsi="Aptos" w:cs="Arial"/>
              </w:rPr>
              <w:t>Prelegere</w:t>
            </w:r>
            <w:proofErr w:type="spellEnd"/>
            <w:r w:rsidRPr="003D79B5">
              <w:rPr>
                <w:rFonts w:ascii="Aptos" w:hAnsi="Aptos" w:cs="Arial"/>
              </w:rPr>
              <w:t xml:space="preserve"> </w:t>
            </w:r>
            <w:proofErr w:type="spellStart"/>
            <w:r w:rsidRPr="003D79B5">
              <w:rPr>
                <w:rFonts w:ascii="Aptos" w:hAnsi="Aptos" w:cs="Arial"/>
              </w:rPr>
              <w:t>interactivă</w:t>
            </w:r>
            <w:proofErr w:type="spellEnd"/>
            <w:r w:rsidRPr="003D79B5">
              <w:rPr>
                <w:rFonts w:ascii="Aptos" w:hAnsi="Aptos" w:cs="Arial"/>
              </w:rPr>
              <w:t xml:space="preserve">, brainstorming, </w:t>
            </w:r>
            <w:proofErr w:type="spellStart"/>
            <w:r w:rsidRPr="003D79B5">
              <w:rPr>
                <w:rFonts w:ascii="Aptos" w:hAnsi="Aptos" w:cs="Arial"/>
              </w:rPr>
              <w:t>învăţare</w:t>
            </w:r>
            <w:proofErr w:type="spellEnd"/>
            <w:r w:rsidRPr="003D79B5">
              <w:rPr>
                <w:rFonts w:ascii="Aptos" w:hAnsi="Aptos" w:cs="Arial"/>
              </w:rPr>
              <w:t xml:space="preserve"> </w:t>
            </w:r>
            <w:proofErr w:type="spellStart"/>
            <w:r w:rsidRPr="003D79B5">
              <w:rPr>
                <w:rFonts w:ascii="Aptos" w:hAnsi="Aptos" w:cs="Arial"/>
              </w:rPr>
              <w:t>dirijată</w:t>
            </w:r>
            <w:proofErr w:type="spellEnd"/>
            <w:r w:rsidRPr="003D79B5">
              <w:rPr>
                <w:rFonts w:ascii="Aptos" w:hAnsi="Aptos" w:cs="Arial"/>
              </w:rPr>
              <w:t>.</w:t>
            </w:r>
          </w:p>
        </w:tc>
        <w:tc>
          <w:tcPr>
            <w:tcW w:w="2457" w:type="dxa"/>
          </w:tcPr>
          <w:p w14:paraId="00891778" w14:textId="77777777" w:rsidR="00862D5E" w:rsidRPr="003D79B5" w:rsidRDefault="00862D5E" w:rsidP="00504EEA">
            <w:pPr>
              <w:jc w:val="both"/>
              <w:rPr>
                <w:rFonts w:ascii="Aptos" w:hAnsi="Aptos" w:cs="Arial"/>
                <w:lang w:val="ro-RO"/>
              </w:rPr>
            </w:pPr>
            <w:r w:rsidRPr="003D79B5">
              <w:rPr>
                <w:rFonts w:ascii="Aptos" w:hAnsi="Aptos" w:cs="Arial"/>
                <w:lang w:val="ro-RO"/>
              </w:rPr>
              <w:t>Se va pune accentul pe implicarea activă a studenților în dezbateri.</w:t>
            </w:r>
          </w:p>
        </w:tc>
      </w:tr>
      <w:tr w:rsidR="00862D5E" w:rsidRPr="003D79B5" w14:paraId="7F6E1A7C" w14:textId="77777777" w:rsidTr="00862D5E">
        <w:tc>
          <w:tcPr>
            <w:tcW w:w="8450" w:type="dxa"/>
            <w:gridSpan w:val="3"/>
          </w:tcPr>
          <w:p w14:paraId="36874BA7" w14:textId="67972080" w:rsidR="00862D5E" w:rsidRPr="003D79B5" w:rsidRDefault="00862D5E" w:rsidP="0064139D">
            <w:pPr>
              <w:jc w:val="both"/>
              <w:rPr>
                <w:rFonts w:ascii="Aptos" w:hAnsi="Aptos" w:cs="Arial"/>
                <w:lang w:val="ro-RO"/>
              </w:rPr>
            </w:pPr>
            <w:r w:rsidRPr="003D79B5">
              <w:rPr>
                <w:rFonts w:ascii="Aptos" w:hAnsi="Aptos" w:cs="Arial"/>
                <w:b/>
                <w:lang w:val="ro-RO"/>
              </w:rPr>
              <w:lastRenderedPageBreak/>
              <w:t>Bibliografie:</w:t>
            </w:r>
            <w:r w:rsidRPr="003D79B5">
              <w:rPr>
                <w:rFonts w:ascii="Aptos" w:hAnsi="Aptos" w:cs="Arial"/>
                <w:lang w:val="ro-RO"/>
              </w:rPr>
              <w:t xml:space="preserve"> Conform pct. 8.1</w:t>
            </w:r>
          </w:p>
        </w:tc>
      </w:tr>
      <w:tr w:rsidR="00862D5E" w:rsidRPr="003D79B5" w14:paraId="0B576201" w14:textId="77777777" w:rsidTr="00862D5E">
        <w:tc>
          <w:tcPr>
            <w:tcW w:w="3712" w:type="dxa"/>
            <w:vAlign w:val="center"/>
          </w:tcPr>
          <w:p w14:paraId="3DFAF890" w14:textId="77777777" w:rsidR="00862D5E" w:rsidRPr="003D79B5" w:rsidRDefault="00862D5E" w:rsidP="00383D98">
            <w:pPr>
              <w:rPr>
                <w:rFonts w:ascii="Aptos" w:hAnsi="Aptos" w:cs="Arial"/>
                <w:b/>
                <w:lang w:val="ro-RO"/>
              </w:rPr>
            </w:pPr>
            <w:r w:rsidRPr="003D79B5">
              <w:rPr>
                <w:rFonts w:ascii="Aptos" w:hAnsi="Aptos" w:cs="Arial"/>
                <w:b/>
                <w:lang w:val="ro-RO"/>
              </w:rPr>
              <w:t>8.3. TC</w:t>
            </w:r>
          </w:p>
        </w:tc>
        <w:tc>
          <w:tcPr>
            <w:tcW w:w="2281" w:type="dxa"/>
            <w:vAlign w:val="center"/>
          </w:tcPr>
          <w:p w14:paraId="601E8D58" w14:textId="77777777" w:rsidR="00862D5E" w:rsidRPr="003D79B5" w:rsidRDefault="00862D5E" w:rsidP="00383D98">
            <w:pPr>
              <w:jc w:val="center"/>
              <w:rPr>
                <w:rFonts w:ascii="Aptos" w:hAnsi="Aptos" w:cs="Arial"/>
                <w:lang w:val="ro-RO"/>
              </w:rPr>
            </w:pPr>
            <w:r w:rsidRPr="003D79B5">
              <w:rPr>
                <w:rFonts w:ascii="Aptos" w:hAnsi="Aptos" w:cs="Arial"/>
                <w:lang w:val="ro-RO"/>
              </w:rPr>
              <w:t>Metode de transmitere a informaţiei</w:t>
            </w:r>
          </w:p>
        </w:tc>
        <w:tc>
          <w:tcPr>
            <w:tcW w:w="2457" w:type="dxa"/>
            <w:vAlign w:val="center"/>
          </w:tcPr>
          <w:p w14:paraId="0F214B6E" w14:textId="77777777" w:rsidR="00862D5E" w:rsidRPr="003D79B5" w:rsidRDefault="00862D5E" w:rsidP="00383D98">
            <w:pPr>
              <w:jc w:val="center"/>
              <w:rPr>
                <w:rFonts w:ascii="Aptos" w:hAnsi="Aptos" w:cs="Arial"/>
                <w:lang w:val="ro-RO"/>
              </w:rPr>
            </w:pPr>
            <w:r w:rsidRPr="003D79B5">
              <w:rPr>
                <w:rFonts w:ascii="Aptos" w:hAnsi="Aptos" w:cs="Arial"/>
                <w:lang w:val="ro-RO"/>
              </w:rPr>
              <w:t>Observaţii</w:t>
            </w:r>
          </w:p>
        </w:tc>
      </w:tr>
      <w:tr w:rsidR="00862D5E" w:rsidRPr="008A3E20" w14:paraId="2D4D1540" w14:textId="77777777" w:rsidTr="00862D5E">
        <w:tc>
          <w:tcPr>
            <w:tcW w:w="3712" w:type="dxa"/>
          </w:tcPr>
          <w:p w14:paraId="325765D4" w14:textId="544B59AD" w:rsidR="00862D5E" w:rsidRPr="003D79B5" w:rsidRDefault="00862D5E" w:rsidP="00136582">
            <w:pPr>
              <w:jc w:val="both"/>
              <w:rPr>
                <w:rFonts w:ascii="Aptos" w:hAnsi="Aptos" w:cs="Arial"/>
                <w:lang w:val="ro-RO"/>
              </w:rPr>
            </w:pPr>
            <w:r w:rsidRPr="003D79B5">
              <w:rPr>
                <w:rFonts w:ascii="Aptos" w:hAnsi="Aptos" w:cs="Arial"/>
                <w:lang w:val="ro-RO"/>
              </w:rPr>
              <w:t>TC nr. 1 – Rezolvarea a două cazuri practice (spețe), din tematica corespunzătoare modulelor 1 și 2, puse la dispoziția studenților prin intermediul caietului de seminar și pe platforma eLearning</w:t>
            </w:r>
          </w:p>
          <w:p w14:paraId="5DEA48F6" w14:textId="77777777" w:rsidR="00862D5E" w:rsidRPr="003D79B5" w:rsidRDefault="00862D5E" w:rsidP="007629B1">
            <w:pPr>
              <w:rPr>
                <w:rFonts w:ascii="Aptos" w:hAnsi="Aptos" w:cs="Arial"/>
                <w:lang w:val="ro-RO"/>
              </w:rPr>
            </w:pPr>
          </w:p>
        </w:tc>
        <w:tc>
          <w:tcPr>
            <w:tcW w:w="2281" w:type="dxa"/>
          </w:tcPr>
          <w:p w14:paraId="49D8E0E2" w14:textId="5824BA17" w:rsidR="00862D5E" w:rsidRPr="003D79B5" w:rsidRDefault="00862D5E" w:rsidP="003D79B5">
            <w:pPr>
              <w:rPr>
                <w:rFonts w:ascii="Aptos" w:hAnsi="Aptos" w:cs="Arial"/>
                <w:lang w:val="ro-RO"/>
              </w:rPr>
            </w:pPr>
            <w:r w:rsidRPr="003D79B5">
              <w:rPr>
                <w:rFonts w:ascii="Aptos" w:hAnsi="Aptos" w:cs="Arial"/>
                <w:lang w:val="ro-RO"/>
              </w:rPr>
              <w:t>Platforma eLearning a UBB. Forumul de discuții și alte instrumente de comunicare de pe platforma eLearning.</w:t>
            </w:r>
          </w:p>
          <w:p w14:paraId="2038104D" w14:textId="77777777" w:rsidR="00862D5E" w:rsidRPr="003D79B5" w:rsidRDefault="00862D5E" w:rsidP="00136582">
            <w:pPr>
              <w:jc w:val="both"/>
              <w:rPr>
                <w:rFonts w:ascii="Aptos" w:hAnsi="Aptos" w:cs="Arial"/>
                <w:lang w:val="ro-RO"/>
              </w:rPr>
            </w:pPr>
          </w:p>
        </w:tc>
        <w:tc>
          <w:tcPr>
            <w:tcW w:w="2457" w:type="dxa"/>
          </w:tcPr>
          <w:p w14:paraId="21D6176B" w14:textId="25B1D918" w:rsidR="00862D5E" w:rsidRPr="003D79B5" w:rsidRDefault="00862D5E" w:rsidP="00136582">
            <w:pPr>
              <w:jc w:val="both"/>
              <w:rPr>
                <w:rFonts w:ascii="Aptos" w:hAnsi="Aptos" w:cs="Arial"/>
                <w:lang w:val="ro-RO"/>
              </w:rPr>
            </w:pPr>
            <w:r w:rsidRPr="003D79B5">
              <w:rPr>
                <w:rFonts w:ascii="Aptos" w:hAnsi="Aptos" w:cs="Arial"/>
                <w:lang w:val="ro-RO"/>
              </w:rPr>
              <w:t>Ponderea TC nr. 1 în nota finală este 5%.</w:t>
            </w:r>
          </w:p>
        </w:tc>
      </w:tr>
      <w:tr w:rsidR="00862D5E" w:rsidRPr="008A3E20" w14:paraId="3A5FF059" w14:textId="77777777" w:rsidTr="00862D5E">
        <w:tc>
          <w:tcPr>
            <w:tcW w:w="3712" w:type="dxa"/>
          </w:tcPr>
          <w:p w14:paraId="013506A1" w14:textId="55903BCA" w:rsidR="00862D5E" w:rsidRPr="003D79B5" w:rsidRDefault="00862D5E" w:rsidP="00136582">
            <w:pPr>
              <w:jc w:val="both"/>
              <w:rPr>
                <w:rFonts w:ascii="Aptos" w:hAnsi="Aptos" w:cs="Arial"/>
                <w:lang w:val="ro-RO"/>
              </w:rPr>
            </w:pPr>
            <w:r w:rsidRPr="003D79B5">
              <w:rPr>
                <w:rFonts w:ascii="Aptos" w:hAnsi="Aptos" w:cs="Arial"/>
                <w:lang w:val="ro-RO"/>
              </w:rPr>
              <w:t>TC nr. 2 - Rezolvarea a două cazuri practice (spețe), din tematica corespunzătoare modulelor 3 și 4, puse la dispoziția studenților prin intermediul caietului de seminar și pe Platforma eLearning a UBB.</w:t>
            </w:r>
          </w:p>
        </w:tc>
        <w:tc>
          <w:tcPr>
            <w:tcW w:w="2281" w:type="dxa"/>
          </w:tcPr>
          <w:p w14:paraId="00EE72AB" w14:textId="7364765A" w:rsidR="00862D5E" w:rsidRPr="003D79B5" w:rsidRDefault="00862D5E" w:rsidP="003D79B5">
            <w:pPr>
              <w:rPr>
                <w:rFonts w:ascii="Aptos" w:hAnsi="Aptos" w:cs="Arial"/>
                <w:lang w:val="ro-RO"/>
              </w:rPr>
            </w:pPr>
            <w:r w:rsidRPr="003D79B5">
              <w:rPr>
                <w:rFonts w:ascii="Aptos" w:hAnsi="Aptos" w:cs="Arial"/>
                <w:lang w:val="ro-RO"/>
              </w:rPr>
              <w:t>Platforma eLearning a UBB. Forumul de discuții și alte instrumente de comunicare de pe platforma eLearning.</w:t>
            </w:r>
          </w:p>
          <w:p w14:paraId="56B1AA7D" w14:textId="77777777" w:rsidR="00862D5E" w:rsidRPr="003D79B5" w:rsidRDefault="00862D5E" w:rsidP="00383D98">
            <w:pPr>
              <w:rPr>
                <w:rFonts w:ascii="Aptos" w:hAnsi="Aptos" w:cs="Arial"/>
                <w:lang w:val="ro-RO"/>
              </w:rPr>
            </w:pPr>
          </w:p>
        </w:tc>
        <w:tc>
          <w:tcPr>
            <w:tcW w:w="2457" w:type="dxa"/>
          </w:tcPr>
          <w:p w14:paraId="78E6693B" w14:textId="4823EFC3" w:rsidR="00862D5E" w:rsidRPr="003D79B5" w:rsidRDefault="00862D5E" w:rsidP="00136582">
            <w:pPr>
              <w:jc w:val="both"/>
              <w:rPr>
                <w:rFonts w:ascii="Aptos" w:hAnsi="Aptos" w:cs="Arial"/>
                <w:lang w:val="ro-RO"/>
              </w:rPr>
            </w:pPr>
            <w:r w:rsidRPr="003D79B5">
              <w:rPr>
                <w:rFonts w:ascii="Aptos" w:hAnsi="Aptos" w:cs="Arial"/>
                <w:lang w:val="ro-RO"/>
              </w:rPr>
              <w:t>Ponderea TC nr. 2 în nota finală este 5%.</w:t>
            </w:r>
          </w:p>
        </w:tc>
      </w:tr>
      <w:tr w:rsidR="00862D5E" w:rsidRPr="003D79B5" w14:paraId="59797C75" w14:textId="77777777" w:rsidTr="00862D5E">
        <w:tc>
          <w:tcPr>
            <w:tcW w:w="3712" w:type="dxa"/>
          </w:tcPr>
          <w:p w14:paraId="0D94602D" w14:textId="77777777" w:rsidR="00862D5E" w:rsidRPr="003D79B5" w:rsidRDefault="00862D5E" w:rsidP="00383D98">
            <w:pPr>
              <w:rPr>
                <w:rFonts w:ascii="Aptos" w:hAnsi="Aptos" w:cs="Arial"/>
                <w:b/>
                <w:lang w:val="ro-RO"/>
              </w:rPr>
            </w:pPr>
            <w:r w:rsidRPr="003D79B5">
              <w:rPr>
                <w:rFonts w:ascii="Aptos" w:hAnsi="Aptos" w:cs="Arial"/>
                <w:b/>
                <w:lang w:val="ro-RO"/>
              </w:rPr>
              <w:t>8.4. AA</w:t>
            </w:r>
          </w:p>
        </w:tc>
        <w:tc>
          <w:tcPr>
            <w:tcW w:w="2281" w:type="dxa"/>
            <w:vAlign w:val="center"/>
          </w:tcPr>
          <w:p w14:paraId="103A49A9" w14:textId="77777777" w:rsidR="00862D5E" w:rsidRPr="003D79B5" w:rsidRDefault="00862D5E" w:rsidP="00383D98">
            <w:pPr>
              <w:jc w:val="center"/>
              <w:rPr>
                <w:rFonts w:ascii="Aptos" w:hAnsi="Aptos" w:cs="Arial"/>
                <w:lang w:val="ro-RO"/>
              </w:rPr>
            </w:pPr>
            <w:r w:rsidRPr="003D79B5">
              <w:rPr>
                <w:rFonts w:ascii="Aptos" w:hAnsi="Aptos" w:cs="Arial"/>
                <w:lang w:val="ro-RO"/>
              </w:rPr>
              <w:t>Metode de predare-învăţare</w:t>
            </w:r>
          </w:p>
        </w:tc>
        <w:tc>
          <w:tcPr>
            <w:tcW w:w="2457" w:type="dxa"/>
            <w:vAlign w:val="center"/>
          </w:tcPr>
          <w:p w14:paraId="27288B6C" w14:textId="77777777" w:rsidR="00862D5E" w:rsidRPr="003D79B5" w:rsidRDefault="00862D5E" w:rsidP="00383D98">
            <w:pPr>
              <w:jc w:val="center"/>
              <w:rPr>
                <w:rFonts w:ascii="Aptos" w:hAnsi="Aptos" w:cs="Arial"/>
                <w:lang w:val="ro-RO"/>
              </w:rPr>
            </w:pPr>
            <w:r w:rsidRPr="003D79B5">
              <w:rPr>
                <w:rFonts w:ascii="Aptos" w:hAnsi="Aptos" w:cs="Arial"/>
                <w:lang w:val="ro-RO"/>
              </w:rPr>
              <w:t>Observaţii</w:t>
            </w:r>
          </w:p>
        </w:tc>
      </w:tr>
      <w:tr w:rsidR="00862D5E" w:rsidRPr="003D79B5" w14:paraId="62C9A517" w14:textId="77777777" w:rsidTr="00862D5E">
        <w:tc>
          <w:tcPr>
            <w:tcW w:w="3712" w:type="dxa"/>
          </w:tcPr>
          <w:p w14:paraId="24A8869F" w14:textId="77777777" w:rsidR="00862D5E" w:rsidRPr="003D79B5" w:rsidRDefault="00862D5E" w:rsidP="00383D98">
            <w:pPr>
              <w:jc w:val="center"/>
              <w:rPr>
                <w:rFonts w:ascii="Aptos" w:hAnsi="Aptos" w:cs="Arial"/>
                <w:b/>
                <w:lang w:val="ro-RO"/>
              </w:rPr>
            </w:pPr>
            <w:r w:rsidRPr="003D79B5">
              <w:rPr>
                <w:rFonts w:ascii="Aptos" w:hAnsi="Aptos" w:cs="Arial"/>
                <w:b/>
                <w:lang w:val="ro-RO"/>
              </w:rPr>
              <w:t>-</w:t>
            </w:r>
          </w:p>
        </w:tc>
        <w:tc>
          <w:tcPr>
            <w:tcW w:w="2281" w:type="dxa"/>
          </w:tcPr>
          <w:p w14:paraId="70414DBD" w14:textId="77777777" w:rsidR="00862D5E" w:rsidRPr="003D79B5" w:rsidRDefault="00862D5E" w:rsidP="00383D98">
            <w:pPr>
              <w:rPr>
                <w:rFonts w:ascii="Aptos" w:hAnsi="Aptos" w:cs="Arial"/>
                <w:lang w:val="ro-RO"/>
              </w:rPr>
            </w:pPr>
          </w:p>
        </w:tc>
        <w:tc>
          <w:tcPr>
            <w:tcW w:w="2457" w:type="dxa"/>
          </w:tcPr>
          <w:p w14:paraId="14502C8C" w14:textId="77777777" w:rsidR="00862D5E" w:rsidRPr="003D79B5" w:rsidRDefault="00862D5E" w:rsidP="00383D98">
            <w:pPr>
              <w:rPr>
                <w:rFonts w:ascii="Aptos" w:hAnsi="Aptos" w:cs="Arial"/>
                <w:lang w:val="ro-RO"/>
              </w:rPr>
            </w:pPr>
          </w:p>
        </w:tc>
      </w:tr>
      <w:tr w:rsidR="00862D5E" w:rsidRPr="003D79B5" w14:paraId="65D5D40D" w14:textId="77777777" w:rsidTr="00862D5E">
        <w:tc>
          <w:tcPr>
            <w:tcW w:w="8450" w:type="dxa"/>
            <w:gridSpan w:val="3"/>
          </w:tcPr>
          <w:p w14:paraId="6CCF3FF7" w14:textId="3F57E848" w:rsidR="00862D5E" w:rsidRPr="003D79B5" w:rsidRDefault="00862D5E" w:rsidP="00504EEA">
            <w:pPr>
              <w:jc w:val="both"/>
              <w:rPr>
                <w:rFonts w:ascii="Aptos" w:hAnsi="Aptos" w:cs="Arial"/>
                <w:lang w:val="ro-RO"/>
              </w:rPr>
            </w:pPr>
            <w:r w:rsidRPr="003D79B5">
              <w:rPr>
                <w:rFonts w:ascii="Aptos" w:hAnsi="Aptos" w:cs="Arial"/>
                <w:b/>
                <w:lang w:val="ro-RO"/>
              </w:rPr>
              <w:t>Bibliografie</w:t>
            </w:r>
            <w:r w:rsidRPr="003D79B5">
              <w:rPr>
                <w:rFonts w:ascii="Aptos" w:hAnsi="Aptos" w:cs="Arial"/>
                <w:lang w:val="ro-RO"/>
              </w:rPr>
              <w:t>: Conform pct. 8.1</w:t>
            </w:r>
          </w:p>
        </w:tc>
      </w:tr>
    </w:tbl>
    <w:p w14:paraId="2048F4F4" w14:textId="77777777" w:rsidR="006447E3" w:rsidRPr="003D79B5" w:rsidRDefault="006447E3" w:rsidP="00DF5C86">
      <w:pPr>
        <w:rPr>
          <w:rFonts w:ascii="Aptos" w:hAnsi="Aptos" w:cs="Arial"/>
          <w:b/>
          <w:lang w:val="ro-RO"/>
        </w:rPr>
      </w:pPr>
    </w:p>
    <w:p w14:paraId="29E9ED10" w14:textId="2F034190" w:rsidR="00DF5C86" w:rsidRPr="003D79B5" w:rsidRDefault="00DF5C86" w:rsidP="00D50561">
      <w:pPr>
        <w:jc w:val="both"/>
        <w:rPr>
          <w:rFonts w:ascii="Aptos" w:hAnsi="Aptos" w:cs="Arial"/>
          <w:b/>
          <w:lang w:val="ro-RO"/>
        </w:rPr>
      </w:pPr>
      <w:r w:rsidRPr="003D79B5">
        <w:rPr>
          <w:rFonts w:ascii="Aptos" w:hAnsi="Aptos" w:cs="Arial"/>
          <w:b/>
          <w:lang w:val="ro-RO"/>
        </w:rPr>
        <w:t>9. Coroborarea conţinuturilor disciplinei cu aşteptările reprezentanţilor comunităţilor epistemice, asociaţilor profesionale şi angajatori reprezentativi din domeniul aferent programului</w:t>
      </w:r>
    </w:p>
    <w:p w14:paraId="2AF70336" w14:textId="77777777" w:rsidR="001349C9" w:rsidRPr="003D79B5"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8A3E20" w14:paraId="21633F37" w14:textId="77777777" w:rsidTr="00A6083F">
        <w:tc>
          <w:tcPr>
            <w:tcW w:w="9900" w:type="dxa"/>
          </w:tcPr>
          <w:p w14:paraId="0E38500A" w14:textId="10F231EF" w:rsidR="00DF5C86" w:rsidRPr="003D79B5" w:rsidRDefault="00ED74D4" w:rsidP="00A6083F">
            <w:pPr>
              <w:jc w:val="both"/>
              <w:rPr>
                <w:rFonts w:ascii="Aptos" w:hAnsi="Aptos" w:cs="Arial"/>
                <w:b/>
                <w:lang w:val="ro-RO"/>
              </w:rPr>
            </w:pPr>
            <w:r w:rsidRPr="003D79B5">
              <w:rPr>
                <w:rFonts w:ascii="Aptos" w:hAnsi="Aptos" w:cs="Arial"/>
                <w:lang w:val="ro-RO"/>
              </w:rPr>
              <w:t>Conținutul programului este adaptat nevoilor comunității epistemice, corespunzând așteptărilor profesiilor liberale (avocați, notari publici, executori judecătorești, practicieni în insolvență) și angajatorilor relevanți din domeniu (instanțe judecătorești, unități de parchet, administrații ale finanțelor publice, organe de specialitate ale administrației publice centrale și locale). Temele de curs și seminar propuse au caracter de actualitate în cercetarea fundamentală și aplicativă, iar abordarea lor în cadrul acestei discipline este fundamentată pe dreptul pozitiv și pe evoluțiile doctrinare și jurisprudențiale europene. Tematica disciplinei acoperă toate aspectele majore relevante din domeniu şi se constituie într-o premisă serioasă pentru transpunerea în practică a cunoştinţelor acumulate.</w:t>
            </w:r>
          </w:p>
        </w:tc>
      </w:tr>
    </w:tbl>
    <w:p w14:paraId="777CE191" w14:textId="2A76D7D7" w:rsidR="00220B6A" w:rsidRPr="003D79B5" w:rsidRDefault="00220B6A" w:rsidP="00DF5C86">
      <w:pPr>
        <w:rPr>
          <w:rFonts w:ascii="Aptos" w:hAnsi="Aptos" w:cs="Arial"/>
          <w:b/>
          <w:lang w:val="ro-RO"/>
        </w:rPr>
      </w:pPr>
    </w:p>
    <w:p w14:paraId="2C432A19" w14:textId="77777777" w:rsidR="00D50561" w:rsidRPr="003D79B5" w:rsidRDefault="00D50561" w:rsidP="00DF5C86">
      <w:pPr>
        <w:rPr>
          <w:rFonts w:ascii="Aptos" w:hAnsi="Aptos" w:cs="Arial"/>
          <w:b/>
          <w:lang w:val="ro-RO"/>
        </w:rPr>
      </w:pPr>
    </w:p>
    <w:p w14:paraId="0CE6678C" w14:textId="6142F68C" w:rsidR="00DF5C86" w:rsidRPr="003D79B5" w:rsidRDefault="00DF5C86" w:rsidP="00DF5C86">
      <w:pPr>
        <w:rPr>
          <w:rFonts w:ascii="Aptos" w:hAnsi="Aptos" w:cs="Arial"/>
          <w:b/>
          <w:lang w:val="ro-RO"/>
        </w:rPr>
      </w:pPr>
      <w:r w:rsidRPr="003D79B5">
        <w:rPr>
          <w:rFonts w:ascii="Aptos" w:hAnsi="Aptos" w:cs="Arial"/>
          <w:b/>
          <w:lang w:val="ro-RO"/>
        </w:rPr>
        <w:t>10. Evaluare</w:t>
      </w:r>
    </w:p>
    <w:p w14:paraId="60F94115" w14:textId="77777777" w:rsidR="001349C9" w:rsidRPr="003D79B5"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3D79B5" w14:paraId="0A3C0A13" w14:textId="77777777" w:rsidTr="00A6083F">
        <w:tc>
          <w:tcPr>
            <w:tcW w:w="2520" w:type="dxa"/>
            <w:vAlign w:val="center"/>
          </w:tcPr>
          <w:p w14:paraId="7E1F20AD" w14:textId="77777777" w:rsidR="00DF5C86" w:rsidRPr="003D79B5" w:rsidRDefault="00DF5C86" w:rsidP="00A6083F">
            <w:pPr>
              <w:jc w:val="center"/>
              <w:rPr>
                <w:rFonts w:ascii="Aptos" w:hAnsi="Aptos" w:cs="Arial"/>
                <w:lang w:val="ro-RO"/>
              </w:rPr>
            </w:pPr>
            <w:r w:rsidRPr="003D79B5">
              <w:rPr>
                <w:rFonts w:ascii="Aptos" w:hAnsi="Aptos" w:cs="Arial"/>
                <w:lang w:val="ro-RO"/>
              </w:rPr>
              <w:t>Tip activitate</w:t>
            </w:r>
          </w:p>
        </w:tc>
        <w:tc>
          <w:tcPr>
            <w:tcW w:w="3292" w:type="dxa"/>
            <w:tcBorders>
              <w:bottom w:val="single" w:sz="4" w:space="0" w:color="auto"/>
            </w:tcBorders>
            <w:vAlign w:val="center"/>
          </w:tcPr>
          <w:p w14:paraId="0B357D3E" w14:textId="77777777" w:rsidR="00DF5C86" w:rsidRPr="003D79B5" w:rsidRDefault="00DF5C86" w:rsidP="00A6083F">
            <w:pPr>
              <w:jc w:val="center"/>
              <w:rPr>
                <w:rFonts w:ascii="Aptos" w:hAnsi="Aptos" w:cs="Arial"/>
                <w:lang w:val="ro-RO"/>
              </w:rPr>
            </w:pPr>
            <w:r w:rsidRPr="003D79B5">
              <w:rPr>
                <w:rFonts w:ascii="Aptos" w:hAnsi="Aptos" w:cs="Arial"/>
                <w:lang w:val="ro-RO"/>
              </w:rPr>
              <w:t>10.1. Criterii de evaluare</w:t>
            </w:r>
          </w:p>
        </w:tc>
        <w:tc>
          <w:tcPr>
            <w:tcW w:w="2835" w:type="dxa"/>
            <w:vAlign w:val="center"/>
          </w:tcPr>
          <w:p w14:paraId="1E1278AF" w14:textId="77777777" w:rsidR="00DF5C86" w:rsidRPr="003D79B5" w:rsidRDefault="00DF5C86" w:rsidP="00A6083F">
            <w:pPr>
              <w:jc w:val="center"/>
              <w:rPr>
                <w:rFonts w:ascii="Aptos" w:hAnsi="Aptos" w:cs="Arial"/>
                <w:lang w:val="ro-RO"/>
              </w:rPr>
            </w:pPr>
            <w:r w:rsidRPr="003D79B5">
              <w:rPr>
                <w:rFonts w:ascii="Aptos" w:hAnsi="Aptos" w:cs="Arial"/>
                <w:lang w:val="ro-RO"/>
              </w:rPr>
              <w:t>10.2. Metode de evaluare</w:t>
            </w:r>
          </w:p>
        </w:tc>
        <w:tc>
          <w:tcPr>
            <w:tcW w:w="1253" w:type="dxa"/>
            <w:vAlign w:val="center"/>
          </w:tcPr>
          <w:p w14:paraId="45AC9E27" w14:textId="77777777" w:rsidR="00DF5C86" w:rsidRPr="003D79B5" w:rsidRDefault="00DF5C86" w:rsidP="00A6083F">
            <w:pPr>
              <w:jc w:val="center"/>
              <w:rPr>
                <w:rFonts w:ascii="Aptos" w:hAnsi="Aptos" w:cs="Arial"/>
                <w:lang w:val="ro-RO"/>
              </w:rPr>
            </w:pPr>
            <w:r w:rsidRPr="003D79B5">
              <w:rPr>
                <w:rFonts w:ascii="Aptos" w:hAnsi="Aptos" w:cs="Arial"/>
                <w:lang w:val="ro-RO"/>
              </w:rPr>
              <w:t>10.3. Pondere din nota finală</w:t>
            </w:r>
          </w:p>
        </w:tc>
      </w:tr>
      <w:tr w:rsidR="00DF5C86" w:rsidRPr="003D79B5" w14:paraId="7896E77C" w14:textId="77777777" w:rsidTr="00752F43">
        <w:tc>
          <w:tcPr>
            <w:tcW w:w="2520" w:type="dxa"/>
          </w:tcPr>
          <w:p w14:paraId="3C5B2E74" w14:textId="77777777" w:rsidR="00DF5C86" w:rsidRPr="003D79B5" w:rsidRDefault="00DF5C86" w:rsidP="00A6083F">
            <w:pPr>
              <w:rPr>
                <w:rFonts w:ascii="Aptos" w:hAnsi="Aptos" w:cs="Arial"/>
                <w:b/>
                <w:lang w:val="ro-RO"/>
              </w:rPr>
            </w:pPr>
            <w:r w:rsidRPr="003D79B5">
              <w:rPr>
                <w:rFonts w:ascii="Aptos" w:hAnsi="Aptos" w:cs="Arial"/>
                <w:b/>
                <w:lang w:val="ro-RO"/>
              </w:rPr>
              <w:t>10.4.SI (curs)</w:t>
            </w:r>
          </w:p>
        </w:tc>
        <w:tc>
          <w:tcPr>
            <w:tcW w:w="3292" w:type="dxa"/>
          </w:tcPr>
          <w:p w14:paraId="31AF0A56" w14:textId="44EEE9E6" w:rsidR="00DF5C86" w:rsidRPr="003D79B5" w:rsidRDefault="007629B1" w:rsidP="00ED74D4">
            <w:pPr>
              <w:jc w:val="both"/>
              <w:rPr>
                <w:rFonts w:ascii="Aptos" w:hAnsi="Aptos" w:cs="Arial"/>
                <w:lang w:val="ro-RO"/>
              </w:rPr>
            </w:pPr>
            <w:r w:rsidRPr="003D79B5">
              <w:rPr>
                <w:rFonts w:ascii="Aptos" w:hAnsi="Aptos" w:cs="Arial"/>
                <w:lang w:val="ro-RO"/>
              </w:rPr>
              <w:t>Nivelul de cunoaștere și înțelegere a materiei;</w:t>
            </w:r>
            <w:r w:rsidR="00ED74D4" w:rsidRPr="003D79B5">
              <w:rPr>
                <w:rFonts w:ascii="Aptos" w:hAnsi="Aptos" w:cs="Arial"/>
                <w:lang w:val="ro-RO"/>
              </w:rPr>
              <w:t xml:space="preserve"> </w:t>
            </w:r>
            <w:r w:rsidRPr="003D79B5">
              <w:rPr>
                <w:rFonts w:ascii="Aptos" w:hAnsi="Aptos" w:cs="Arial"/>
                <w:lang w:val="ro-RO"/>
              </w:rPr>
              <w:t>Capacitatea de a utiliza în mod adecvat conceptele studiate;</w:t>
            </w:r>
            <w:r w:rsidR="00ED74D4" w:rsidRPr="003D79B5">
              <w:rPr>
                <w:rFonts w:ascii="Aptos" w:hAnsi="Aptos" w:cs="Arial"/>
                <w:lang w:val="ro-RO"/>
              </w:rPr>
              <w:t xml:space="preserve"> </w:t>
            </w:r>
            <w:r w:rsidRPr="003D79B5">
              <w:rPr>
                <w:rFonts w:ascii="Aptos" w:hAnsi="Aptos" w:cs="Arial"/>
                <w:lang w:val="ro-RO"/>
              </w:rPr>
              <w:t>Modul de abordare și de rezolvare a cazurilor practice propuse.</w:t>
            </w:r>
          </w:p>
        </w:tc>
        <w:tc>
          <w:tcPr>
            <w:tcW w:w="2835" w:type="dxa"/>
          </w:tcPr>
          <w:p w14:paraId="232C4396" w14:textId="09AD00B1" w:rsidR="00DF5C86" w:rsidRPr="003D79B5" w:rsidRDefault="008C17D3" w:rsidP="00ED74D4">
            <w:pPr>
              <w:jc w:val="both"/>
              <w:rPr>
                <w:rFonts w:ascii="Aptos" w:hAnsi="Aptos" w:cs="Arial"/>
                <w:lang w:val="ro-RO"/>
              </w:rPr>
            </w:pPr>
            <w:r w:rsidRPr="003D79B5">
              <w:rPr>
                <w:rFonts w:ascii="Aptos" w:hAnsi="Aptos" w:cs="Arial"/>
                <w:lang w:val="it-IT"/>
              </w:rPr>
              <w:t xml:space="preserve">Examen </w:t>
            </w:r>
            <w:r w:rsidR="00415027" w:rsidRPr="003D79B5">
              <w:rPr>
                <w:rFonts w:ascii="Aptos" w:hAnsi="Aptos" w:cs="Arial"/>
                <w:lang w:val="it-IT"/>
              </w:rPr>
              <w:t>scris</w:t>
            </w:r>
            <w:r w:rsidR="00ED74D4" w:rsidRPr="003D79B5">
              <w:rPr>
                <w:rFonts w:ascii="Aptos" w:hAnsi="Aptos" w:cs="Arial"/>
                <w:lang w:val="it-IT"/>
              </w:rPr>
              <w:t xml:space="preserve"> (</w:t>
            </w:r>
            <w:r w:rsidR="00415027" w:rsidRPr="003D79B5">
              <w:rPr>
                <w:rFonts w:ascii="Aptos" w:hAnsi="Aptos" w:cs="Arial"/>
                <w:lang w:val="it-IT"/>
              </w:rPr>
              <w:t>redactarea unei lucrări de cercetare, pe baza unor teme propuse din bibliografia studiată</w:t>
            </w:r>
            <w:r w:rsidR="00ED74D4" w:rsidRPr="003D79B5">
              <w:rPr>
                <w:rFonts w:ascii="Aptos" w:hAnsi="Aptos" w:cs="Arial"/>
                <w:lang w:val="it-IT"/>
              </w:rPr>
              <w:t>)</w:t>
            </w:r>
          </w:p>
        </w:tc>
        <w:tc>
          <w:tcPr>
            <w:tcW w:w="1253" w:type="dxa"/>
            <w:vAlign w:val="center"/>
          </w:tcPr>
          <w:p w14:paraId="742989C3" w14:textId="77777777" w:rsidR="00DF5C86" w:rsidRPr="003D79B5" w:rsidRDefault="007629B1" w:rsidP="00752F43">
            <w:pPr>
              <w:jc w:val="center"/>
              <w:rPr>
                <w:rFonts w:ascii="Aptos" w:hAnsi="Aptos" w:cs="Arial"/>
                <w:lang w:val="ro-RO"/>
              </w:rPr>
            </w:pPr>
            <w:r w:rsidRPr="003D79B5">
              <w:rPr>
                <w:rFonts w:ascii="Aptos" w:hAnsi="Aptos" w:cs="Arial"/>
                <w:lang w:val="ro-RO"/>
              </w:rPr>
              <w:t>9</w:t>
            </w:r>
            <w:r w:rsidR="00752F43" w:rsidRPr="003D79B5">
              <w:rPr>
                <w:rFonts w:ascii="Aptos" w:hAnsi="Aptos" w:cs="Arial"/>
                <w:lang w:val="ro-RO"/>
              </w:rPr>
              <w:t>0%</w:t>
            </w:r>
          </w:p>
        </w:tc>
      </w:tr>
      <w:tr w:rsidR="00DF5C86" w:rsidRPr="003D79B5" w14:paraId="40B93603" w14:textId="77777777" w:rsidTr="00752F43">
        <w:tc>
          <w:tcPr>
            <w:tcW w:w="2520" w:type="dxa"/>
          </w:tcPr>
          <w:p w14:paraId="503B84BF" w14:textId="77777777" w:rsidR="00DF5C86" w:rsidRPr="003D79B5" w:rsidRDefault="00DF5C86" w:rsidP="00561B0C">
            <w:pPr>
              <w:rPr>
                <w:rFonts w:ascii="Aptos" w:hAnsi="Aptos" w:cs="Arial"/>
                <w:b/>
                <w:lang w:val="ro-RO"/>
              </w:rPr>
            </w:pPr>
            <w:r w:rsidRPr="003D79B5">
              <w:rPr>
                <w:rFonts w:ascii="Aptos" w:hAnsi="Aptos" w:cs="Arial"/>
                <w:b/>
                <w:lang w:val="ro-RO"/>
              </w:rPr>
              <w:t>10.5. TC / AA</w:t>
            </w:r>
          </w:p>
        </w:tc>
        <w:tc>
          <w:tcPr>
            <w:tcW w:w="3292" w:type="dxa"/>
          </w:tcPr>
          <w:p w14:paraId="0A7F3070" w14:textId="57824E2B" w:rsidR="00DF5C86" w:rsidRPr="003D79B5" w:rsidRDefault="007629B1" w:rsidP="00ED74D4">
            <w:pPr>
              <w:jc w:val="both"/>
              <w:rPr>
                <w:rFonts w:ascii="Aptos" w:hAnsi="Aptos" w:cs="Arial"/>
                <w:lang w:val="ro-RO"/>
              </w:rPr>
            </w:pPr>
            <w:r w:rsidRPr="003D79B5">
              <w:rPr>
                <w:rFonts w:ascii="Aptos" w:hAnsi="Aptos" w:cs="Arial"/>
                <w:lang w:val="ro-RO"/>
              </w:rPr>
              <w:t>Nivelul de cunoaștere și înțelegere a materiei.</w:t>
            </w:r>
            <w:r w:rsidR="00ED74D4" w:rsidRPr="003D79B5">
              <w:rPr>
                <w:rFonts w:ascii="Aptos" w:hAnsi="Aptos" w:cs="Arial"/>
                <w:lang w:val="ro-RO"/>
              </w:rPr>
              <w:t xml:space="preserve"> </w:t>
            </w:r>
            <w:r w:rsidRPr="003D79B5">
              <w:rPr>
                <w:rFonts w:ascii="Aptos" w:hAnsi="Aptos" w:cs="Arial"/>
                <w:lang w:val="ro-RO"/>
              </w:rPr>
              <w:t>Capacitatea de a utiliza în mod adecvat conceptele studiate</w:t>
            </w:r>
            <w:r w:rsidR="008C17D3" w:rsidRPr="003D79B5">
              <w:rPr>
                <w:rFonts w:ascii="Aptos" w:hAnsi="Aptos" w:cs="Arial"/>
                <w:lang w:val="ro-RO"/>
              </w:rPr>
              <w:t>.</w:t>
            </w:r>
          </w:p>
        </w:tc>
        <w:tc>
          <w:tcPr>
            <w:tcW w:w="2835" w:type="dxa"/>
          </w:tcPr>
          <w:p w14:paraId="4C71F2E8" w14:textId="625193BC" w:rsidR="00DF5C86" w:rsidRPr="003D79B5" w:rsidRDefault="00ED74D4" w:rsidP="00ED74D4">
            <w:pPr>
              <w:jc w:val="both"/>
              <w:rPr>
                <w:rFonts w:ascii="Aptos" w:hAnsi="Aptos" w:cs="Arial"/>
                <w:lang w:val="ro-RO"/>
              </w:rPr>
            </w:pPr>
            <w:r w:rsidRPr="003D79B5">
              <w:rPr>
                <w:rFonts w:ascii="Aptos" w:hAnsi="Aptos" w:cs="Arial"/>
                <w:lang w:val="ro-RO"/>
              </w:rPr>
              <w:t>2 t</w:t>
            </w:r>
            <w:r w:rsidR="00752F43" w:rsidRPr="003D79B5">
              <w:rPr>
                <w:rFonts w:ascii="Aptos" w:hAnsi="Aptos" w:cs="Arial"/>
                <w:lang w:val="ro-RO"/>
              </w:rPr>
              <w:t xml:space="preserve">eme pe parcursul semestrului </w:t>
            </w:r>
            <w:r w:rsidR="00297D5D" w:rsidRPr="003D79B5">
              <w:rPr>
                <w:rFonts w:ascii="Aptos" w:hAnsi="Aptos" w:cs="Arial"/>
                <w:lang w:val="ro-RO"/>
              </w:rPr>
              <w:t>prin intermediul platformei eLearning a UBB</w:t>
            </w:r>
          </w:p>
        </w:tc>
        <w:tc>
          <w:tcPr>
            <w:tcW w:w="1253" w:type="dxa"/>
            <w:vAlign w:val="center"/>
          </w:tcPr>
          <w:p w14:paraId="4A808D4A" w14:textId="77777777" w:rsidR="00DF5C86" w:rsidRPr="003D79B5" w:rsidRDefault="007629B1" w:rsidP="00752F43">
            <w:pPr>
              <w:jc w:val="center"/>
              <w:rPr>
                <w:rFonts w:ascii="Aptos" w:hAnsi="Aptos" w:cs="Arial"/>
                <w:lang w:val="ro-RO"/>
              </w:rPr>
            </w:pPr>
            <w:r w:rsidRPr="003D79B5">
              <w:rPr>
                <w:rFonts w:ascii="Aptos" w:hAnsi="Aptos" w:cs="Arial"/>
                <w:lang w:val="ro-RO"/>
              </w:rPr>
              <w:t>1</w:t>
            </w:r>
            <w:r w:rsidR="00752F43" w:rsidRPr="003D79B5">
              <w:rPr>
                <w:rFonts w:ascii="Aptos" w:hAnsi="Aptos" w:cs="Arial"/>
                <w:lang w:val="ro-RO"/>
              </w:rPr>
              <w:t>0%</w:t>
            </w:r>
          </w:p>
        </w:tc>
      </w:tr>
      <w:tr w:rsidR="00DF5C86" w:rsidRPr="008A3E20" w14:paraId="79AC4E01" w14:textId="77777777" w:rsidTr="00A6083F">
        <w:tc>
          <w:tcPr>
            <w:tcW w:w="9900" w:type="dxa"/>
            <w:gridSpan w:val="4"/>
          </w:tcPr>
          <w:p w14:paraId="1C59DAAC" w14:textId="77777777" w:rsidR="00561B0C" w:rsidRPr="003D79B5" w:rsidRDefault="00DF5C86" w:rsidP="00297D5D">
            <w:pPr>
              <w:rPr>
                <w:rFonts w:ascii="Aptos" w:hAnsi="Aptos" w:cs="Arial"/>
                <w:b/>
                <w:bCs/>
                <w:lang w:val="ro-RO"/>
              </w:rPr>
            </w:pPr>
            <w:r w:rsidRPr="003D79B5">
              <w:rPr>
                <w:rFonts w:ascii="Aptos" w:hAnsi="Aptos" w:cs="Arial"/>
                <w:b/>
                <w:bCs/>
                <w:lang w:val="ro-RO"/>
              </w:rPr>
              <w:t>10.6. Standard minim de performanţă</w:t>
            </w:r>
          </w:p>
          <w:p w14:paraId="3E26BA32" w14:textId="2EE176CF" w:rsidR="00297D5D" w:rsidRPr="003D79B5" w:rsidRDefault="00297D5D" w:rsidP="00297D5D">
            <w:pPr>
              <w:pStyle w:val="ListParagraph"/>
              <w:numPr>
                <w:ilvl w:val="0"/>
                <w:numId w:val="11"/>
              </w:numPr>
              <w:rPr>
                <w:rFonts w:ascii="Aptos" w:hAnsi="Aptos" w:cs="Arial"/>
                <w:bCs/>
                <w:lang w:val="ro-RO"/>
              </w:rPr>
            </w:pPr>
            <w:r w:rsidRPr="003D79B5">
              <w:rPr>
                <w:rFonts w:ascii="Aptos" w:hAnsi="Aptos" w:cs="Arial"/>
                <w:bCs/>
                <w:lang w:val="ro-RO"/>
              </w:rPr>
              <w:t>Pentru absolvirea acestei discipline este necesară obținerea unei note finale de minim 5</w:t>
            </w:r>
            <w:r w:rsidR="00FF4910" w:rsidRPr="003D79B5">
              <w:rPr>
                <w:rFonts w:ascii="Aptos" w:hAnsi="Aptos" w:cs="Arial"/>
                <w:bCs/>
                <w:lang w:val="ro-RO"/>
              </w:rPr>
              <w:t xml:space="preserve"> </w:t>
            </w:r>
            <w:r w:rsidRPr="003D79B5">
              <w:rPr>
                <w:rFonts w:ascii="Aptos" w:hAnsi="Aptos" w:cs="Arial"/>
                <w:bCs/>
                <w:lang w:val="ro-RO"/>
              </w:rPr>
              <w:t>(cinci);</w:t>
            </w:r>
          </w:p>
          <w:p w14:paraId="21F2C640" w14:textId="167F80FB" w:rsidR="00297D5D" w:rsidRPr="003D79B5" w:rsidRDefault="00297D5D" w:rsidP="001349C9">
            <w:pPr>
              <w:pStyle w:val="ListParagraph"/>
              <w:numPr>
                <w:ilvl w:val="0"/>
                <w:numId w:val="11"/>
              </w:numPr>
              <w:rPr>
                <w:rFonts w:ascii="Aptos" w:hAnsi="Aptos" w:cs="Arial"/>
                <w:bCs/>
                <w:lang w:val="ro-RO"/>
              </w:rPr>
            </w:pPr>
            <w:r w:rsidRPr="003D79B5">
              <w:rPr>
                <w:rFonts w:ascii="Aptos" w:hAnsi="Aptos" w:cs="Arial"/>
                <w:bCs/>
                <w:lang w:val="ro-RO"/>
              </w:rPr>
              <w:t>Notele acordate sunt între 1</w:t>
            </w:r>
            <w:r w:rsidR="00FF4910" w:rsidRPr="003D79B5">
              <w:rPr>
                <w:rFonts w:ascii="Aptos" w:hAnsi="Aptos" w:cs="Arial"/>
                <w:bCs/>
                <w:lang w:val="ro-RO"/>
              </w:rPr>
              <w:t xml:space="preserve"> </w:t>
            </w:r>
            <w:r w:rsidRPr="003D79B5">
              <w:rPr>
                <w:rFonts w:ascii="Aptos" w:hAnsi="Aptos" w:cs="Arial"/>
                <w:bCs/>
                <w:lang w:val="ro-RO"/>
              </w:rPr>
              <w:t>(unu) și 10</w:t>
            </w:r>
            <w:r w:rsidR="00FF4910" w:rsidRPr="003D79B5">
              <w:rPr>
                <w:rFonts w:ascii="Aptos" w:hAnsi="Aptos" w:cs="Arial"/>
                <w:bCs/>
                <w:lang w:val="ro-RO"/>
              </w:rPr>
              <w:t xml:space="preserve"> </w:t>
            </w:r>
            <w:r w:rsidRPr="003D79B5">
              <w:rPr>
                <w:rFonts w:ascii="Aptos" w:hAnsi="Aptos" w:cs="Arial"/>
                <w:bCs/>
                <w:lang w:val="ro-RO"/>
              </w:rPr>
              <w:t>(zece)</w:t>
            </w:r>
            <w:r w:rsidR="007629B1" w:rsidRPr="003D79B5">
              <w:rPr>
                <w:rFonts w:ascii="Aptos" w:hAnsi="Aptos" w:cs="Arial"/>
                <w:bCs/>
                <w:lang w:val="ro-RO"/>
              </w:rPr>
              <w:t>.</w:t>
            </w:r>
          </w:p>
        </w:tc>
      </w:tr>
    </w:tbl>
    <w:p w14:paraId="62396483" w14:textId="77777777" w:rsidR="00DF5C86" w:rsidRPr="003D79B5" w:rsidRDefault="00DF5C86" w:rsidP="00DF5C86">
      <w:pPr>
        <w:rPr>
          <w:rFonts w:ascii="Aptos" w:hAnsi="Aptos" w:cs="Arial"/>
          <w:lang w:val="ro-RO"/>
        </w:rPr>
      </w:pPr>
      <w:r w:rsidRPr="003D79B5">
        <w:rPr>
          <w:rFonts w:ascii="Aptos" w:hAnsi="Aptos" w:cs="Arial"/>
          <w:lang w:val="ro-RO"/>
        </w:rPr>
        <w:tab/>
      </w:r>
      <w:r w:rsidRPr="003D79B5">
        <w:rPr>
          <w:rFonts w:ascii="Aptos" w:hAnsi="Aptos" w:cs="Arial"/>
          <w:lang w:val="ro-RO"/>
        </w:rPr>
        <w:tab/>
      </w:r>
    </w:p>
    <w:p w14:paraId="4ED1E203" w14:textId="77777777" w:rsidR="00DF5C86" w:rsidRPr="003D79B5" w:rsidRDefault="00DF5C86" w:rsidP="00DF5C86">
      <w:pPr>
        <w:rPr>
          <w:rFonts w:ascii="Aptos" w:hAnsi="Aptos" w:cs="Arial"/>
          <w:lang w:val="ro-RO"/>
        </w:rPr>
      </w:pPr>
      <w:r w:rsidRPr="003D79B5">
        <w:rPr>
          <w:rFonts w:ascii="Aptos" w:hAnsi="Aptos" w:cs="Arial"/>
          <w:lang w:val="ro-RO"/>
        </w:rPr>
        <w:tab/>
      </w:r>
      <w:r w:rsidRPr="003D79B5">
        <w:rPr>
          <w:rFonts w:ascii="Aptos" w:hAnsi="Aptos" w:cs="Arial"/>
          <w:lang w:val="ro-RO"/>
        </w:rPr>
        <w:tab/>
      </w:r>
      <w:r w:rsidRPr="003D79B5">
        <w:rPr>
          <w:rFonts w:ascii="Aptos" w:hAnsi="Aptos" w:cs="Arial"/>
          <w:lang w:val="ro-RO"/>
        </w:rPr>
        <w:tab/>
      </w:r>
      <w:r w:rsidRPr="003D79B5">
        <w:rPr>
          <w:rFonts w:ascii="Aptos" w:hAnsi="Aptos" w:cs="Arial"/>
          <w:lang w:val="ro-RO"/>
        </w:rPr>
        <w:tab/>
      </w:r>
    </w:p>
    <w:p w14:paraId="64D8608F" w14:textId="77777777" w:rsidR="00DF5C86" w:rsidRPr="003D79B5" w:rsidRDefault="00DF5C86" w:rsidP="00DF5C86">
      <w:pPr>
        <w:rPr>
          <w:rFonts w:ascii="Aptos" w:hAnsi="Aptos" w:cs="Arial"/>
          <w:lang w:val="ro-RO"/>
        </w:rPr>
      </w:pPr>
    </w:p>
    <w:tbl>
      <w:tblPr>
        <w:tblW w:w="9900" w:type="dxa"/>
        <w:tblInd w:w="108" w:type="dxa"/>
        <w:tblLook w:val="01E0" w:firstRow="1" w:lastRow="1" w:firstColumn="1" w:lastColumn="1" w:noHBand="0" w:noVBand="0"/>
      </w:tblPr>
      <w:tblGrid>
        <w:gridCol w:w="2410"/>
        <w:gridCol w:w="3890"/>
        <w:gridCol w:w="3600"/>
      </w:tblGrid>
      <w:tr w:rsidR="007629B1" w:rsidRPr="008A3E20" w14:paraId="1C58A870" w14:textId="77777777" w:rsidTr="00A6083F">
        <w:trPr>
          <w:trHeight w:val="908"/>
        </w:trPr>
        <w:tc>
          <w:tcPr>
            <w:tcW w:w="2410" w:type="dxa"/>
            <w:vAlign w:val="center"/>
          </w:tcPr>
          <w:p w14:paraId="5BFD3520" w14:textId="77777777" w:rsidR="007629B1" w:rsidRPr="003D79B5" w:rsidRDefault="007629B1" w:rsidP="00A6083F">
            <w:pPr>
              <w:rPr>
                <w:rFonts w:ascii="Aptos" w:hAnsi="Aptos" w:cs="Arial"/>
                <w:lang w:val="ro-RO"/>
              </w:rPr>
            </w:pPr>
          </w:p>
        </w:tc>
        <w:tc>
          <w:tcPr>
            <w:tcW w:w="3890" w:type="dxa"/>
            <w:vAlign w:val="center"/>
          </w:tcPr>
          <w:p w14:paraId="1BEBEB0A" w14:textId="77777777" w:rsidR="007629B1" w:rsidRPr="003D79B5" w:rsidRDefault="007629B1" w:rsidP="00A6083F">
            <w:pPr>
              <w:jc w:val="center"/>
              <w:rPr>
                <w:rFonts w:ascii="Aptos" w:hAnsi="Aptos" w:cs="Arial"/>
                <w:lang w:val="ro-RO"/>
              </w:rPr>
            </w:pPr>
            <w:r w:rsidRPr="003D79B5">
              <w:rPr>
                <w:rFonts w:ascii="Aptos" w:hAnsi="Aptos" w:cs="Arial"/>
                <w:lang w:val="ro-RO"/>
              </w:rPr>
              <w:t>Coordonator de disciplină</w:t>
            </w:r>
          </w:p>
          <w:p w14:paraId="44A48D03" w14:textId="4CD0E4A8" w:rsidR="007629B1" w:rsidRPr="003D79B5" w:rsidRDefault="00FF4910" w:rsidP="00A6083F">
            <w:pPr>
              <w:jc w:val="center"/>
              <w:rPr>
                <w:rFonts w:ascii="Aptos" w:hAnsi="Aptos" w:cs="Arial"/>
                <w:lang w:val="ro-RO"/>
              </w:rPr>
            </w:pPr>
            <w:r w:rsidRPr="003D79B5">
              <w:rPr>
                <w:rFonts w:ascii="Aptos" w:hAnsi="Aptos" w:cs="Arial"/>
                <w:lang w:val="ro-RO"/>
              </w:rPr>
              <w:t>Cosmin-Flavius Costaș</w:t>
            </w:r>
          </w:p>
        </w:tc>
        <w:tc>
          <w:tcPr>
            <w:tcW w:w="3600" w:type="dxa"/>
            <w:vAlign w:val="center"/>
          </w:tcPr>
          <w:p w14:paraId="77C296A3" w14:textId="22980893" w:rsidR="007629B1" w:rsidRPr="003D79B5" w:rsidRDefault="00FF4910" w:rsidP="00A6083F">
            <w:pPr>
              <w:jc w:val="center"/>
              <w:rPr>
                <w:rFonts w:ascii="Aptos" w:hAnsi="Aptos" w:cs="Arial"/>
                <w:lang w:val="ro-RO"/>
              </w:rPr>
            </w:pPr>
            <w:r w:rsidRPr="003D79B5">
              <w:rPr>
                <w:rFonts w:ascii="Aptos" w:hAnsi="Aptos" w:cs="Arial"/>
                <w:lang w:val="ro-RO"/>
              </w:rPr>
              <w:t xml:space="preserve"> </w:t>
            </w:r>
            <w:r w:rsidR="007629B1" w:rsidRPr="003D79B5">
              <w:rPr>
                <w:rFonts w:ascii="Aptos" w:hAnsi="Aptos" w:cs="Arial"/>
                <w:lang w:val="ro-RO"/>
              </w:rPr>
              <w:t>Tutore de disciplină</w:t>
            </w:r>
          </w:p>
          <w:p w14:paraId="7F19D04A" w14:textId="39DBADF1" w:rsidR="007629B1" w:rsidRPr="003D79B5" w:rsidRDefault="007629B1" w:rsidP="00A6083F">
            <w:pPr>
              <w:jc w:val="center"/>
              <w:rPr>
                <w:rFonts w:ascii="Aptos" w:hAnsi="Aptos" w:cs="Arial"/>
                <w:lang w:val="ro-RO"/>
              </w:rPr>
            </w:pPr>
            <w:r w:rsidRPr="003D79B5">
              <w:rPr>
                <w:rFonts w:ascii="Aptos" w:hAnsi="Aptos" w:cs="Arial"/>
                <w:lang w:val="ro-RO"/>
              </w:rPr>
              <w:t xml:space="preserve"> </w:t>
            </w:r>
            <w:r w:rsidR="00ED74D4" w:rsidRPr="003D79B5">
              <w:rPr>
                <w:rFonts w:ascii="Aptos" w:hAnsi="Aptos" w:cs="Arial"/>
                <w:lang w:val="ro-RO"/>
              </w:rPr>
              <w:t>Cosmin-Flavius Costaș</w:t>
            </w:r>
          </w:p>
        </w:tc>
      </w:tr>
      <w:tr w:rsidR="007629B1" w:rsidRPr="003D79B5" w14:paraId="5BF494FB" w14:textId="77777777" w:rsidTr="00A6083F">
        <w:tc>
          <w:tcPr>
            <w:tcW w:w="2410" w:type="dxa"/>
            <w:vAlign w:val="center"/>
          </w:tcPr>
          <w:p w14:paraId="0A3210B7" w14:textId="77777777" w:rsidR="00FF4910" w:rsidRPr="003D79B5" w:rsidRDefault="00FF4910" w:rsidP="003D79B5">
            <w:pPr>
              <w:rPr>
                <w:rFonts w:ascii="Aptos" w:hAnsi="Aptos" w:cs="Arial"/>
                <w:i/>
                <w:lang w:val="ro-RO"/>
              </w:rPr>
            </w:pPr>
          </w:p>
          <w:p w14:paraId="1E0EB4A4" w14:textId="77777777" w:rsidR="00FF4910" w:rsidRPr="003D79B5" w:rsidRDefault="00FF4910" w:rsidP="00A6083F">
            <w:pPr>
              <w:jc w:val="center"/>
              <w:rPr>
                <w:rFonts w:ascii="Aptos" w:hAnsi="Aptos" w:cs="Arial"/>
                <w:i/>
                <w:lang w:val="ro-RO"/>
              </w:rPr>
            </w:pPr>
          </w:p>
          <w:p w14:paraId="1042866A" w14:textId="0D4EAB4F" w:rsidR="007629B1" w:rsidRPr="003D79B5" w:rsidRDefault="007629B1" w:rsidP="00A6083F">
            <w:pPr>
              <w:jc w:val="center"/>
              <w:rPr>
                <w:rFonts w:ascii="Aptos" w:hAnsi="Aptos" w:cs="Arial"/>
                <w:i/>
                <w:lang w:val="ro-RO"/>
              </w:rPr>
            </w:pPr>
            <w:r w:rsidRPr="003D79B5">
              <w:rPr>
                <w:rFonts w:ascii="Aptos" w:hAnsi="Aptos" w:cs="Arial"/>
                <w:i/>
                <w:lang w:val="ro-RO"/>
              </w:rPr>
              <w:t>Data</w:t>
            </w:r>
          </w:p>
          <w:p w14:paraId="632B4D0C" w14:textId="1D879E76" w:rsidR="007629B1" w:rsidRPr="003D79B5" w:rsidRDefault="00FF4910" w:rsidP="00A6083F">
            <w:pPr>
              <w:rPr>
                <w:rFonts w:ascii="Aptos" w:hAnsi="Aptos" w:cs="Arial"/>
                <w:iCs/>
                <w:lang w:val="ro-RO"/>
              </w:rPr>
            </w:pPr>
            <w:r w:rsidRPr="003D79B5">
              <w:rPr>
                <w:rFonts w:ascii="Aptos" w:hAnsi="Aptos" w:cs="Arial"/>
                <w:iCs/>
                <w:lang w:val="ro-RO"/>
              </w:rPr>
              <w:t xml:space="preserve">             </w:t>
            </w:r>
            <w:r w:rsidR="003D79B5" w:rsidRPr="003D79B5">
              <w:rPr>
                <w:rFonts w:ascii="Aptos" w:hAnsi="Aptos" w:cs="Arial"/>
                <w:iCs/>
                <w:lang w:val="ro-RO"/>
              </w:rPr>
              <w:t>25.09</w:t>
            </w:r>
            <w:r w:rsidRPr="003D79B5">
              <w:rPr>
                <w:rFonts w:ascii="Aptos" w:hAnsi="Aptos" w:cs="Arial"/>
                <w:iCs/>
                <w:lang w:val="ro-RO"/>
              </w:rPr>
              <w:t>.20</w:t>
            </w:r>
            <w:r w:rsidR="00DD7E06" w:rsidRPr="003D79B5">
              <w:rPr>
                <w:rFonts w:ascii="Aptos" w:hAnsi="Aptos" w:cs="Arial"/>
                <w:iCs/>
                <w:lang w:val="ro-RO"/>
              </w:rPr>
              <w:t>2</w:t>
            </w:r>
            <w:r w:rsidR="003D79B5" w:rsidRPr="003D79B5">
              <w:rPr>
                <w:rFonts w:ascii="Aptos" w:hAnsi="Aptos" w:cs="Arial"/>
                <w:iCs/>
                <w:lang w:val="ro-RO"/>
              </w:rPr>
              <w:t>5</w:t>
            </w:r>
          </w:p>
        </w:tc>
        <w:tc>
          <w:tcPr>
            <w:tcW w:w="7490" w:type="dxa"/>
            <w:gridSpan w:val="2"/>
          </w:tcPr>
          <w:p w14:paraId="0F37BC93" w14:textId="16A98B06" w:rsidR="007629B1" w:rsidRPr="003D79B5" w:rsidRDefault="007629B1" w:rsidP="00A6083F">
            <w:pPr>
              <w:jc w:val="center"/>
              <w:rPr>
                <w:rFonts w:ascii="Aptos" w:hAnsi="Aptos" w:cs="Arial"/>
                <w:lang w:val="ro-RO"/>
              </w:rPr>
            </w:pPr>
          </w:p>
          <w:p w14:paraId="01472D57" w14:textId="22A31303" w:rsidR="00DD7E06" w:rsidRPr="003D79B5" w:rsidRDefault="00DD7E06" w:rsidP="00A6083F">
            <w:pPr>
              <w:jc w:val="center"/>
              <w:rPr>
                <w:rFonts w:ascii="Aptos" w:hAnsi="Aptos" w:cs="Arial"/>
                <w:lang w:val="ro-RO"/>
              </w:rPr>
            </w:pPr>
          </w:p>
          <w:p w14:paraId="651D1A9A" w14:textId="28927A59" w:rsidR="00DD7E06" w:rsidRPr="003D79B5" w:rsidRDefault="00DD7E06" w:rsidP="00A6083F">
            <w:pPr>
              <w:jc w:val="center"/>
              <w:rPr>
                <w:rFonts w:ascii="Aptos" w:hAnsi="Aptos" w:cs="Arial"/>
                <w:lang w:val="ro-RO"/>
              </w:rPr>
            </w:pPr>
          </w:p>
          <w:p w14:paraId="166C75D0" w14:textId="59F058FE" w:rsidR="00DD7E06" w:rsidRPr="003D79B5" w:rsidRDefault="00DD7E06" w:rsidP="00A6083F">
            <w:pPr>
              <w:jc w:val="center"/>
              <w:rPr>
                <w:rFonts w:ascii="Aptos" w:hAnsi="Aptos" w:cs="Arial"/>
                <w:lang w:val="ro-RO"/>
              </w:rPr>
            </w:pPr>
          </w:p>
          <w:p w14:paraId="7492FD75" w14:textId="77777777" w:rsidR="00DD7E06" w:rsidRPr="003D79B5" w:rsidRDefault="00DD7E06" w:rsidP="00A6083F">
            <w:pPr>
              <w:jc w:val="center"/>
              <w:rPr>
                <w:rFonts w:ascii="Aptos" w:hAnsi="Aptos" w:cs="Arial"/>
                <w:lang w:val="ro-RO"/>
              </w:rPr>
            </w:pPr>
          </w:p>
          <w:p w14:paraId="5654C677" w14:textId="77777777" w:rsidR="00FF4910" w:rsidRPr="003D79B5" w:rsidRDefault="00FF4910" w:rsidP="00A6083F">
            <w:pPr>
              <w:jc w:val="center"/>
              <w:rPr>
                <w:rFonts w:ascii="Aptos" w:hAnsi="Aptos" w:cs="Arial"/>
                <w:lang w:val="ro-RO"/>
              </w:rPr>
            </w:pPr>
          </w:p>
          <w:p w14:paraId="43E5E37A" w14:textId="77777777" w:rsidR="00FF4910" w:rsidRPr="003D79B5" w:rsidRDefault="00FF4910" w:rsidP="00A6083F">
            <w:pPr>
              <w:jc w:val="center"/>
              <w:rPr>
                <w:rFonts w:ascii="Aptos" w:hAnsi="Aptos" w:cs="Arial"/>
                <w:lang w:val="ro-RO"/>
              </w:rPr>
            </w:pPr>
          </w:p>
          <w:p w14:paraId="684A0680" w14:textId="3534C13C" w:rsidR="007629B1" w:rsidRPr="003D79B5" w:rsidRDefault="007629B1" w:rsidP="00A6083F">
            <w:pPr>
              <w:jc w:val="center"/>
              <w:rPr>
                <w:rFonts w:ascii="Aptos" w:hAnsi="Aptos" w:cs="Arial"/>
                <w:lang w:val="ro-RO"/>
              </w:rPr>
            </w:pPr>
            <w:r w:rsidRPr="003D79B5">
              <w:rPr>
                <w:rFonts w:ascii="Aptos" w:hAnsi="Aptos" w:cs="Arial"/>
                <w:lang w:val="ro-RO"/>
              </w:rPr>
              <w:t>Responsabil de studii ID/IFR,</w:t>
            </w:r>
          </w:p>
          <w:p w14:paraId="7AE8580E" w14:textId="3E509A74" w:rsidR="007629B1" w:rsidRPr="003D79B5" w:rsidRDefault="008A3E20" w:rsidP="00A6083F">
            <w:pPr>
              <w:jc w:val="center"/>
              <w:rPr>
                <w:rFonts w:ascii="Aptos" w:hAnsi="Aptos" w:cs="Arial"/>
                <w:lang w:val="ro-RO"/>
              </w:rPr>
            </w:pPr>
            <w:r>
              <w:rPr>
                <w:rFonts w:ascii="Aptos" w:hAnsi="Aptos" w:cs="Arial"/>
                <w:lang w:val="ro-RO"/>
              </w:rPr>
              <w:t>Lector dr. Diana Ionescu</w:t>
            </w:r>
          </w:p>
          <w:p w14:paraId="3E86FF15" w14:textId="77777777" w:rsidR="007629B1" w:rsidRPr="003D79B5" w:rsidRDefault="007629B1" w:rsidP="00A6083F">
            <w:pPr>
              <w:jc w:val="center"/>
              <w:rPr>
                <w:rFonts w:ascii="Aptos" w:hAnsi="Aptos" w:cs="Arial"/>
                <w:lang w:val="ro-RO"/>
              </w:rPr>
            </w:pPr>
          </w:p>
        </w:tc>
      </w:tr>
    </w:tbl>
    <w:p w14:paraId="51043E8B" w14:textId="77777777" w:rsidR="007629B1" w:rsidRPr="003D79B5" w:rsidRDefault="007629B1" w:rsidP="007629B1">
      <w:pPr>
        <w:rPr>
          <w:rFonts w:ascii="Aptos" w:hAnsi="Aptos" w:cs="Arial"/>
          <w:lang w:val="ro-RO"/>
        </w:rPr>
      </w:pPr>
    </w:p>
    <w:p w14:paraId="2AE040C6" w14:textId="77777777" w:rsidR="00DF5C86" w:rsidRPr="003D79B5" w:rsidRDefault="00DF5C86" w:rsidP="00DF5C86">
      <w:pPr>
        <w:rPr>
          <w:rFonts w:ascii="Aptos" w:hAnsi="Aptos" w:cs="Arial"/>
          <w:lang w:val="ro-RO"/>
        </w:rPr>
      </w:pPr>
    </w:p>
    <w:sectPr w:rsidR="00DF5C86" w:rsidRPr="003D79B5" w:rsidSect="00A6083F">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C9FB" w14:textId="77777777" w:rsidR="005C75AB" w:rsidRDefault="005C75AB" w:rsidP="00DF5C86">
      <w:r>
        <w:separator/>
      </w:r>
    </w:p>
  </w:endnote>
  <w:endnote w:type="continuationSeparator" w:id="0">
    <w:p w14:paraId="1DC14DDF" w14:textId="77777777" w:rsidR="005C75AB" w:rsidRDefault="005C75AB"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EB77" w14:textId="77777777" w:rsidR="00A6083F" w:rsidRDefault="00F83D8F" w:rsidP="00A6083F">
    <w:pPr>
      <w:pStyle w:val="Foot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232F6D">
      <w:rPr>
        <w:rStyle w:val="PageNumber"/>
        <w:noProof/>
      </w:rPr>
      <w:t>1</w:t>
    </w:r>
    <w:r>
      <w:rPr>
        <w:rStyle w:val="PageNumber"/>
      </w:rPr>
      <w:fldChar w:fldCharType="end"/>
    </w:r>
  </w:p>
  <w:p w14:paraId="7C8C0021" w14:textId="77777777" w:rsidR="00A6083F" w:rsidRDefault="00A6083F" w:rsidP="00A60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F358" w14:textId="77777777" w:rsidR="00A6083F" w:rsidRDefault="00F83D8F" w:rsidP="00A6083F">
    <w:pPr>
      <w:pStyle w:val="Foot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1675EE">
      <w:rPr>
        <w:rStyle w:val="PageNumber"/>
        <w:noProof/>
      </w:rPr>
      <w:t>3</w:t>
    </w:r>
    <w:r>
      <w:rPr>
        <w:rStyle w:val="PageNumber"/>
      </w:rPr>
      <w:fldChar w:fldCharType="end"/>
    </w:r>
  </w:p>
  <w:p w14:paraId="3B4B4C3D" w14:textId="77777777" w:rsidR="00A6083F" w:rsidRPr="00F91DEB" w:rsidRDefault="00A6083F" w:rsidP="00A608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4A81" w14:textId="77777777" w:rsidR="005C75AB" w:rsidRDefault="005C75AB" w:rsidP="00DF5C86">
      <w:r>
        <w:separator/>
      </w:r>
    </w:p>
  </w:footnote>
  <w:footnote w:type="continuationSeparator" w:id="0">
    <w:p w14:paraId="22CF6769" w14:textId="77777777" w:rsidR="005C75AB" w:rsidRDefault="005C75AB"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49BE" w14:textId="77777777" w:rsidR="00A6083F" w:rsidRDefault="00F83D8F">
    <w:pPr>
      <w:pStyle w:val="Head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232F6D">
      <w:rPr>
        <w:rStyle w:val="PageNumber"/>
        <w:noProof/>
      </w:rPr>
      <w:t>1</w:t>
    </w:r>
    <w:r>
      <w:rPr>
        <w:rStyle w:val="PageNumber"/>
      </w:rPr>
      <w:fldChar w:fldCharType="end"/>
    </w:r>
  </w:p>
  <w:p w14:paraId="07B1C80E" w14:textId="77777777" w:rsidR="00A6083F" w:rsidRDefault="00A608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B8FF38"/>
    <w:lvl w:ilvl="0">
      <w:numFmt w:val="bullet"/>
      <w:lvlText w:val="•"/>
      <w:lvlJc w:val="left"/>
      <w:pPr>
        <w:tabs>
          <w:tab w:val="num" w:pos="284"/>
        </w:tabs>
        <w:ind w:left="284" w:firstLine="0"/>
      </w:pPr>
      <w:rPr>
        <w:rFonts w:hint="default"/>
        <w:color w:val="000000"/>
        <w:position w:val="0"/>
        <w:sz w:val="20"/>
        <w:szCs w:val="20"/>
      </w:rPr>
    </w:lvl>
    <w:lvl w:ilvl="1">
      <w:start w:val="1"/>
      <w:numFmt w:val="bullet"/>
      <w:suff w:val="nothing"/>
      <w:lvlText w:val=""/>
      <w:lvlJc w:val="left"/>
      <w:pPr>
        <w:ind w:left="0" w:firstLine="0"/>
      </w:pPr>
      <w:rPr>
        <w:rFonts w:hint="default"/>
        <w:color w:val="000000"/>
        <w:position w:val="0"/>
      </w:rPr>
    </w:lvl>
    <w:lvl w:ilvl="2">
      <w:start w:val="1"/>
      <w:numFmt w:val="bullet"/>
      <w:suff w:val="nothing"/>
      <w:lvlText w:val=""/>
      <w:lvlJc w:val="left"/>
      <w:pPr>
        <w:ind w:left="0" w:firstLine="0"/>
      </w:pPr>
      <w:rPr>
        <w:rFonts w:hint="default"/>
        <w:color w:val="000000"/>
        <w:position w:val="0"/>
      </w:rPr>
    </w:lvl>
    <w:lvl w:ilvl="3">
      <w:start w:val="1"/>
      <w:numFmt w:val="bullet"/>
      <w:suff w:val="nothing"/>
      <w:lvlText w:val=""/>
      <w:lvlJc w:val="left"/>
      <w:pPr>
        <w:ind w:left="0" w:firstLine="0"/>
      </w:pPr>
      <w:rPr>
        <w:rFonts w:hint="default"/>
        <w:color w:val="000000"/>
        <w:position w:val="0"/>
      </w:rPr>
    </w:lvl>
    <w:lvl w:ilvl="4">
      <w:start w:val="1"/>
      <w:numFmt w:val="bullet"/>
      <w:suff w:val="nothing"/>
      <w:lvlText w:val=""/>
      <w:lvlJc w:val="left"/>
      <w:pPr>
        <w:ind w:left="0" w:firstLine="0"/>
      </w:pPr>
      <w:rPr>
        <w:rFonts w:hint="default"/>
        <w:color w:val="000000"/>
        <w:position w:val="0"/>
      </w:rPr>
    </w:lvl>
    <w:lvl w:ilvl="5">
      <w:start w:val="1"/>
      <w:numFmt w:val="bullet"/>
      <w:suff w:val="nothing"/>
      <w:lvlText w:val=""/>
      <w:lvlJc w:val="left"/>
      <w:pPr>
        <w:ind w:left="0" w:firstLine="0"/>
      </w:pPr>
      <w:rPr>
        <w:rFonts w:hint="default"/>
        <w:color w:val="000000"/>
        <w:position w:val="0"/>
      </w:rPr>
    </w:lvl>
    <w:lvl w:ilvl="6">
      <w:start w:val="1"/>
      <w:numFmt w:val="bullet"/>
      <w:suff w:val="nothing"/>
      <w:lvlText w:val=""/>
      <w:lvlJc w:val="left"/>
      <w:pPr>
        <w:ind w:left="0" w:firstLine="0"/>
      </w:pPr>
      <w:rPr>
        <w:rFonts w:hint="default"/>
        <w:color w:val="000000"/>
        <w:position w:val="0"/>
      </w:rPr>
    </w:lvl>
    <w:lvl w:ilvl="7">
      <w:start w:val="1"/>
      <w:numFmt w:val="bullet"/>
      <w:suff w:val="nothing"/>
      <w:lvlText w:val=""/>
      <w:lvlJc w:val="left"/>
      <w:pPr>
        <w:ind w:left="0" w:firstLine="0"/>
      </w:pPr>
      <w:rPr>
        <w:rFonts w:hint="default"/>
        <w:color w:val="000000"/>
        <w:position w:val="0"/>
      </w:rPr>
    </w:lvl>
    <w:lvl w:ilvl="8">
      <w:start w:val="1"/>
      <w:numFmt w:val="bullet"/>
      <w:suff w:val="nothing"/>
      <w:lvlText w:val=""/>
      <w:lvlJc w:val="left"/>
      <w:pPr>
        <w:ind w:left="0" w:firstLine="0"/>
      </w:pPr>
      <w:rPr>
        <w:rFonts w:hint="default"/>
        <w:color w:val="000000"/>
        <w:position w:val="0"/>
      </w:rPr>
    </w:lvl>
  </w:abstractNum>
  <w:abstractNum w:abstractNumId="1" w15:restartNumberingAfterBreak="0">
    <w:nsid w:val="00000002"/>
    <w:multiLevelType w:val="multilevel"/>
    <w:tmpl w:val="BFB06208"/>
    <w:lvl w:ilvl="0">
      <w:numFmt w:val="bullet"/>
      <w:lvlText w:val="•"/>
      <w:lvlJc w:val="left"/>
      <w:pPr>
        <w:tabs>
          <w:tab w:val="num" w:pos="284"/>
        </w:tabs>
        <w:ind w:left="284" w:firstLine="0"/>
      </w:pPr>
      <w:rPr>
        <w:rFonts w:hint="default"/>
        <w:color w:val="000000"/>
        <w:position w:val="0"/>
        <w:sz w:val="20"/>
      </w:rPr>
    </w:lvl>
    <w:lvl w:ilvl="1">
      <w:start w:val="1"/>
      <w:numFmt w:val="bullet"/>
      <w:suff w:val="nothing"/>
      <w:lvlText w:val=""/>
      <w:lvlJc w:val="left"/>
      <w:pPr>
        <w:ind w:left="0" w:firstLine="0"/>
      </w:pPr>
      <w:rPr>
        <w:rFonts w:hint="default"/>
        <w:color w:val="000000"/>
        <w:position w:val="0"/>
      </w:rPr>
    </w:lvl>
    <w:lvl w:ilvl="2">
      <w:start w:val="1"/>
      <w:numFmt w:val="bullet"/>
      <w:suff w:val="nothing"/>
      <w:lvlText w:val=""/>
      <w:lvlJc w:val="left"/>
      <w:pPr>
        <w:ind w:left="0" w:firstLine="0"/>
      </w:pPr>
      <w:rPr>
        <w:rFonts w:hint="default"/>
        <w:color w:val="000000"/>
        <w:position w:val="0"/>
      </w:rPr>
    </w:lvl>
    <w:lvl w:ilvl="3">
      <w:start w:val="1"/>
      <w:numFmt w:val="bullet"/>
      <w:suff w:val="nothing"/>
      <w:lvlText w:val=""/>
      <w:lvlJc w:val="left"/>
      <w:pPr>
        <w:ind w:left="0" w:firstLine="0"/>
      </w:pPr>
      <w:rPr>
        <w:rFonts w:hint="default"/>
        <w:color w:val="000000"/>
        <w:position w:val="0"/>
      </w:rPr>
    </w:lvl>
    <w:lvl w:ilvl="4">
      <w:start w:val="1"/>
      <w:numFmt w:val="bullet"/>
      <w:suff w:val="nothing"/>
      <w:lvlText w:val=""/>
      <w:lvlJc w:val="left"/>
      <w:pPr>
        <w:ind w:left="0" w:firstLine="0"/>
      </w:pPr>
      <w:rPr>
        <w:rFonts w:hint="default"/>
        <w:color w:val="000000"/>
        <w:position w:val="0"/>
      </w:rPr>
    </w:lvl>
    <w:lvl w:ilvl="5">
      <w:start w:val="1"/>
      <w:numFmt w:val="bullet"/>
      <w:suff w:val="nothing"/>
      <w:lvlText w:val=""/>
      <w:lvlJc w:val="left"/>
      <w:pPr>
        <w:ind w:left="0" w:firstLine="0"/>
      </w:pPr>
      <w:rPr>
        <w:rFonts w:hint="default"/>
        <w:color w:val="000000"/>
        <w:position w:val="0"/>
      </w:rPr>
    </w:lvl>
    <w:lvl w:ilvl="6">
      <w:start w:val="1"/>
      <w:numFmt w:val="bullet"/>
      <w:suff w:val="nothing"/>
      <w:lvlText w:val=""/>
      <w:lvlJc w:val="left"/>
      <w:pPr>
        <w:ind w:left="0" w:firstLine="0"/>
      </w:pPr>
      <w:rPr>
        <w:rFonts w:hint="default"/>
        <w:color w:val="000000"/>
        <w:position w:val="0"/>
      </w:rPr>
    </w:lvl>
    <w:lvl w:ilvl="7">
      <w:start w:val="1"/>
      <w:numFmt w:val="bullet"/>
      <w:suff w:val="nothing"/>
      <w:lvlText w:val=""/>
      <w:lvlJc w:val="left"/>
      <w:pPr>
        <w:ind w:left="0" w:firstLine="0"/>
      </w:pPr>
      <w:rPr>
        <w:rFonts w:hint="default"/>
        <w:color w:val="000000"/>
        <w:position w:val="0"/>
      </w:rPr>
    </w:lvl>
    <w:lvl w:ilvl="8">
      <w:start w:val="1"/>
      <w:numFmt w:val="bullet"/>
      <w:suff w:val="nothing"/>
      <w:lvlText w:val=""/>
      <w:lvlJc w:val="left"/>
      <w:pPr>
        <w:ind w:left="0" w:firstLine="0"/>
      </w:pPr>
      <w:rPr>
        <w:rFonts w:hint="default"/>
        <w:color w:val="000000"/>
        <w:position w:val="0"/>
      </w:rPr>
    </w:lvl>
  </w:abstractNum>
  <w:abstractNum w:abstractNumId="2" w15:restartNumberingAfterBreak="0">
    <w:nsid w:val="0B224421"/>
    <w:multiLevelType w:val="hybridMultilevel"/>
    <w:tmpl w:val="C7DA6D9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07D15FE"/>
    <w:multiLevelType w:val="hybridMultilevel"/>
    <w:tmpl w:val="38A8E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919CA"/>
    <w:multiLevelType w:val="hybridMultilevel"/>
    <w:tmpl w:val="32E2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372C7"/>
    <w:multiLevelType w:val="hybridMultilevel"/>
    <w:tmpl w:val="87B0E684"/>
    <w:lvl w:ilvl="0" w:tplc="C32A9B76">
      <w:start w:val="4"/>
      <w:numFmt w:val="bullet"/>
      <w:lvlText w:val="-"/>
      <w:lvlJc w:val="left"/>
      <w:pPr>
        <w:ind w:left="1011" w:hanging="360"/>
      </w:pPr>
      <w:rPr>
        <w:rFonts w:ascii="Times New Roman" w:eastAsia="Times New Roman" w:hAnsi="Times New Roman" w:hint="default"/>
      </w:rPr>
    </w:lvl>
    <w:lvl w:ilvl="1" w:tplc="04180003" w:tentative="1">
      <w:start w:val="1"/>
      <w:numFmt w:val="bullet"/>
      <w:lvlText w:val="o"/>
      <w:lvlJc w:val="left"/>
      <w:pPr>
        <w:ind w:left="1731" w:hanging="360"/>
      </w:pPr>
      <w:rPr>
        <w:rFonts w:ascii="Courier New" w:hAnsi="Courier New" w:hint="default"/>
      </w:rPr>
    </w:lvl>
    <w:lvl w:ilvl="2" w:tplc="04180005" w:tentative="1">
      <w:start w:val="1"/>
      <w:numFmt w:val="bullet"/>
      <w:lvlText w:val=""/>
      <w:lvlJc w:val="left"/>
      <w:pPr>
        <w:ind w:left="2451" w:hanging="360"/>
      </w:pPr>
      <w:rPr>
        <w:rFonts w:ascii="Wingdings" w:hAnsi="Wingdings" w:hint="default"/>
      </w:rPr>
    </w:lvl>
    <w:lvl w:ilvl="3" w:tplc="04180001" w:tentative="1">
      <w:start w:val="1"/>
      <w:numFmt w:val="bullet"/>
      <w:lvlText w:val=""/>
      <w:lvlJc w:val="left"/>
      <w:pPr>
        <w:ind w:left="3171" w:hanging="360"/>
      </w:pPr>
      <w:rPr>
        <w:rFonts w:ascii="Symbol" w:hAnsi="Symbol" w:hint="default"/>
      </w:rPr>
    </w:lvl>
    <w:lvl w:ilvl="4" w:tplc="04180003" w:tentative="1">
      <w:start w:val="1"/>
      <w:numFmt w:val="bullet"/>
      <w:lvlText w:val="o"/>
      <w:lvlJc w:val="left"/>
      <w:pPr>
        <w:ind w:left="3891" w:hanging="360"/>
      </w:pPr>
      <w:rPr>
        <w:rFonts w:ascii="Courier New" w:hAnsi="Courier New" w:hint="default"/>
      </w:rPr>
    </w:lvl>
    <w:lvl w:ilvl="5" w:tplc="04180005" w:tentative="1">
      <w:start w:val="1"/>
      <w:numFmt w:val="bullet"/>
      <w:lvlText w:val=""/>
      <w:lvlJc w:val="left"/>
      <w:pPr>
        <w:ind w:left="4611" w:hanging="360"/>
      </w:pPr>
      <w:rPr>
        <w:rFonts w:ascii="Wingdings" w:hAnsi="Wingdings" w:hint="default"/>
      </w:rPr>
    </w:lvl>
    <w:lvl w:ilvl="6" w:tplc="04180001" w:tentative="1">
      <w:start w:val="1"/>
      <w:numFmt w:val="bullet"/>
      <w:lvlText w:val=""/>
      <w:lvlJc w:val="left"/>
      <w:pPr>
        <w:ind w:left="5331" w:hanging="360"/>
      </w:pPr>
      <w:rPr>
        <w:rFonts w:ascii="Symbol" w:hAnsi="Symbol" w:hint="default"/>
      </w:rPr>
    </w:lvl>
    <w:lvl w:ilvl="7" w:tplc="04180003" w:tentative="1">
      <w:start w:val="1"/>
      <w:numFmt w:val="bullet"/>
      <w:lvlText w:val="o"/>
      <w:lvlJc w:val="left"/>
      <w:pPr>
        <w:ind w:left="6051" w:hanging="360"/>
      </w:pPr>
      <w:rPr>
        <w:rFonts w:ascii="Courier New" w:hAnsi="Courier New" w:hint="default"/>
      </w:rPr>
    </w:lvl>
    <w:lvl w:ilvl="8" w:tplc="04180005" w:tentative="1">
      <w:start w:val="1"/>
      <w:numFmt w:val="bullet"/>
      <w:lvlText w:val=""/>
      <w:lvlJc w:val="left"/>
      <w:pPr>
        <w:ind w:left="6771" w:hanging="360"/>
      </w:pPr>
      <w:rPr>
        <w:rFonts w:ascii="Wingdings" w:hAnsi="Wingdings" w:hint="default"/>
      </w:rPr>
    </w:lvl>
  </w:abstractNum>
  <w:abstractNum w:abstractNumId="7"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8"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1"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110A67"/>
    <w:multiLevelType w:val="hybridMultilevel"/>
    <w:tmpl w:val="91B0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76D0A"/>
    <w:multiLevelType w:val="hybridMultilevel"/>
    <w:tmpl w:val="25CC5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77CC8"/>
    <w:multiLevelType w:val="hybridMultilevel"/>
    <w:tmpl w:val="C6EC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16" w15:restartNumberingAfterBreak="0">
    <w:nsid w:val="58F31D4D"/>
    <w:multiLevelType w:val="hybridMultilevel"/>
    <w:tmpl w:val="C6EC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B1B3C"/>
    <w:multiLevelType w:val="hybridMultilevel"/>
    <w:tmpl w:val="E3AE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F445E"/>
    <w:multiLevelType w:val="hybridMultilevel"/>
    <w:tmpl w:val="B608D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482730">
    <w:abstractNumId w:val="15"/>
  </w:num>
  <w:num w:numId="2" w16cid:durableId="1030296379">
    <w:abstractNumId w:val="7"/>
  </w:num>
  <w:num w:numId="3" w16cid:durableId="799612136">
    <w:abstractNumId w:val="3"/>
  </w:num>
  <w:num w:numId="4" w16cid:durableId="1355763752">
    <w:abstractNumId w:val="0"/>
  </w:num>
  <w:num w:numId="5" w16cid:durableId="1027170660">
    <w:abstractNumId w:val="1"/>
  </w:num>
  <w:num w:numId="6" w16cid:durableId="283775276">
    <w:abstractNumId w:val="5"/>
  </w:num>
  <w:num w:numId="7" w16cid:durableId="941765977">
    <w:abstractNumId w:val="14"/>
  </w:num>
  <w:num w:numId="8" w16cid:durableId="801003698">
    <w:abstractNumId w:val="13"/>
  </w:num>
  <w:num w:numId="9" w16cid:durableId="1069502052">
    <w:abstractNumId w:val="4"/>
  </w:num>
  <w:num w:numId="10" w16cid:durableId="151485821">
    <w:abstractNumId w:val="16"/>
  </w:num>
  <w:num w:numId="11" w16cid:durableId="1530072577">
    <w:abstractNumId w:val="17"/>
  </w:num>
  <w:num w:numId="12" w16cid:durableId="1536188132">
    <w:abstractNumId w:val="18"/>
  </w:num>
  <w:num w:numId="13" w16cid:durableId="1453591572">
    <w:abstractNumId w:val="8"/>
  </w:num>
  <w:num w:numId="14" w16cid:durableId="993339532">
    <w:abstractNumId w:val="10"/>
  </w:num>
  <w:num w:numId="15" w16cid:durableId="564877020">
    <w:abstractNumId w:val="9"/>
  </w:num>
  <w:num w:numId="16" w16cid:durableId="2015573190">
    <w:abstractNumId w:val="11"/>
  </w:num>
  <w:num w:numId="17" w16cid:durableId="931668690">
    <w:abstractNumId w:val="2"/>
  </w:num>
  <w:num w:numId="18" w16cid:durableId="1285113975">
    <w:abstractNumId w:val="19"/>
  </w:num>
  <w:num w:numId="19" w16cid:durableId="1122462107">
    <w:abstractNumId w:val="12"/>
  </w:num>
  <w:num w:numId="20" w16cid:durableId="746617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AE"/>
    <w:rsid w:val="000021BC"/>
    <w:rsid w:val="00040F59"/>
    <w:rsid w:val="0006438C"/>
    <w:rsid w:val="00083778"/>
    <w:rsid w:val="000A7516"/>
    <w:rsid w:val="000E0185"/>
    <w:rsid w:val="000E4636"/>
    <w:rsid w:val="000F0399"/>
    <w:rsid w:val="000F6E76"/>
    <w:rsid w:val="0012341A"/>
    <w:rsid w:val="00125210"/>
    <w:rsid w:val="00130D7D"/>
    <w:rsid w:val="001349C9"/>
    <w:rsid w:val="00136582"/>
    <w:rsid w:val="00160515"/>
    <w:rsid w:val="001675EE"/>
    <w:rsid w:val="001B3146"/>
    <w:rsid w:val="001E409E"/>
    <w:rsid w:val="00212AC1"/>
    <w:rsid w:val="00220B6A"/>
    <w:rsid w:val="00226D39"/>
    <w:rsid w:val="00232F6D"/>
    <w:rsid w:val="00235190"/>
    <w:rsid w:val="00253BF5"/>
    <w:rsid w:val="0026436B"/>
    <w:rsid w:val="00267782"/>
    <w:rsid w:val="0027466D"/>
    <w:rsid w:val="00297D5D"/>
    <w:rsid w:val="002A7E40"/>
    <w:rsid w:val="002B1806"/>
    <w:rsid w:val="002C53BC"/>
    <w:rsid w:val="002F2088"/>
    <w:rsid w:val="00313350"/>
    <w:rsid w:val="0031471D"/>
    <w:rsid w:val="00322C2D"/>
    <w:rsid w:val="0033296D"/>
    <w:rsid w:val="00337E29"/>
    <w:rsid w:val="00342629"/>
    <w:rsid w:val="00364C00"/>
    <w:rsid w:val="00383D98"/>
    <w:rsid w:val="00390002"/>
    <w:rsid w:val="003A2D65"/>
    <w:rsid w:val="003D79B5"/>
    <w:rsid w:val="003E2130"/>
    <w:rsid w:val="003F627C"/>
    <w:rsid w:val="00415027"/>
    <w:rsid w:val="00462087"/>
    <w:rsid w:val="00493CB0"/>
    <w:rsid w:val="004D5C24"/>
    <w:rsid w:val="00504EEA"/>
    <w:rsid w:val="00535C07"/>
    <w:rsid w:val="00552706"/>
    <w:rsid w:val="005555C0"/>
    <w:rsid w:val="00560E73"/>
    <w:rsid w:val="00561B0C"/>
    <w:rsid w:val="00567E7A"/>
    <w:rsid w:val="005C75AB"/>
    <w:rsid w:val="005F3FCC"/>
    <w:rsid w:val="00610742"/>
    <w:rsid w:val="00631C2F"/>
    <w:rsid w:val="00635E78"/>
    <w:rsid w:val="0064139D"/>
    <w:rsid w:val="006447E3"/>
    <w:rsid w:val="00661958"/>
    <w:rsid w:val="0067532B"/>
    <w:rsid w:val="006E1412"/>
    <w:rsid w:val="006F3945"/>
    <w:rsid w:val="007035BF"/>
    <w:rsid w:val="0072360F"/>
    <w:rsid w:val="0073047A"/>
    <w:rsid w:val="007351A4"/>
    <w:rsid w:val="0075200C"/>
    <w:rsid w:val="00752F43"/>
    <w:rsid w:val="007548F9"/>
    <w:rsid w:val="007629B1"/>
    <w:rsid w:val="00764919"/>
    <w:rsid w:val="00780434"/>
    <w:rsid w:val="007A11FB"/>
    <w:rsid w:val="007A1739"/>
    <w:rsid w:val="007D3FD1"/>
    <w:rsid w:val="008066E3"/>
    <w:rsid w:val="00823102"/>
    <w:rsid w:val="00830B61"/>
    <w:rsid w:val="00862D5E"/>
    <w:rsid w:val="008772BD"/>
    <w:rsid w:val="00890C95"/>
    <w:rsid w:val="00890EB2"/>
    <w:rsid w:val="008A0F79"/>
    <w:rsid w:val="008A3E20"/>
    <w:rsid w:val="008C17D3"/>
    <w:rsid w:val="008C33A8"/>
    <w:rsid w:val="00922066"/>
    <w:rsid w:val="009336FE"/>
    <w:rsid w:val="00976102"/>
    <w:rsid w:val="00984246"/>
    <w:rsid w:val="009C2BAE"/>
    <w:rsid w:val="009D71B8"/>
    <w:rsid w:val="009E3014"/>
    <w:rsid w:val="00A002BE"/>
    <w:rsid w:val="00A30D45"/>
    <w:rsid w:val="00A540D6"/>
    <w:rsid w:val="00A6083F"/>
    <w:rsid w:val="00A707A2"/>
    <w:rsid w:val="00A90683"/>
    <w:rsid w:val="00AA4FA6"/>
    <w:rsid w:val="00AB0AAD"/>
    <w:rsid w:val="00AB325C"/>
    <w:rsid w:val="00AE18A2"/>
    <w:rsid w:val="00B150CC"/>
    <w:rsid w:val="00B166C3"/>
    <w:rsid w:val="00B176BE"/>
    <w:rsid w:val="00B237FE"/>
    <w:rsid w:val="00B277FC"/>
    <w:rsid w:val="00B4619A"/>
    <w:rsid w:val="00B80293"/>
    <w:rsid w:val="00B95C51"/>
    <w:rsid w:val="00BA64BD"/>
    <w:rsid w:val="00BE56C3"/>
    <w:rsid w:val="00C44A40"/>
    <w:rsid w:val="00C5388F"/>
    <w:rsid w:val="00C60495"/>
    <w:rsid w:val="00C641BC"/>
    <w:rsid w:val="00C731CF"/>
    <w:rsid w:val="00C75B38"/>
    <w:rsid w:val="00C9768F"/>
    <w:rsid w:val="00CA2677"/>
    <w:rsid w:val="00CB6F92"/>
    <w:rsid w:val="00CD18FF"/>
    <w:rsid w:val="00CD52D7"/>
    <w:rsid w:val="00CD638E"/>
    <w:rsid w:val="00CE1549"/>
    <w:rsid w:val="00D22C8C"/>
    <w:rsid w:val="00D24C28"/>
    <w:rsid w:val="00D33282"/>
    <w:rsid w:val="00D50561"/>
    <w:rsid w:val="00D60B7B"/>
    <w:rsid w:val="00DA5CA9"/>
    <w:rsid w:val="00DA6D1E"/>
    <w:rsid w:val="00DB7F8B"/>
    <w:rsid w:val="00DD7E06"/>
    <w:rsid w:val="00DF39D1"/>
    <w:rsid w:val="00DF5089"/>
    <w:rsid w:val="00DF5C86"/>
    <w:rsid w:val="00E05207"/>
    <w:rsid w:val="00E65ABA"/>
    <w:rsid w:val="00EB7168"/>
    <w:rsid w:val="00EC18D5"/>
    <w:rsid w:val="00ED74D4"/>
    <w:rsid w:val="00EF58C2"/>
    <w:rsid w:val="00F05502"/>
    <w:rsid w:val="00F31564"/>
    <w:rsid w:val="00F65419"/>
    <w:rsid w:val="00F83D8F"/>
    <w:rsid w:val="00F93158"/>
    <w:rsid w:val="00FC11BF"/>
    <w:rsid w:val="00FE07F3"/>
    <w:rsid w:val="00FE253A"/>
    <w:rsid w:val="00FF4910"/>
    <w:rsid w:val="00FF79E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3F30"/>
  <w15:chartTrackingRefBased/>
  <w15:docId w15:val="{8301CD49-AD98-42A4-8B85-F0C90A2A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rPr>
      <w:rFonts w:ascii="Times New Roman" w:eastAsia="Times New Roman" w:hAnsi="Times New Roman"/>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2F2088"/>
    <w:pPr>
      <w:widowControl w:val="0"/>
    </w:pPr>
    <w:rPr>
      <w:rFonts w:ascii="Times New Roman" w:eastAsia="ヒラギノ角ゴ Pro W3" w:hAnsi="Times New Roman"/>
      <w:color w:val="000000"/>
      <w:sz w:val="24"/>
      <w:lang w:val="en-AU" w:eastAsia="en-US"/>
    </w:rPr>
  </w:style>
  <w:style w:type="paragraph" w:styleId="ListParagraph">
    <w:name w:val="List Paragraph"/>
    <w:basedOn w:val="Normal"/>
    <w:uiPriority w:val="34"/>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2A7F-1474-4F43-87A2-5DB72942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10007</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Narcisa Viorica Scrobota</cp:lastModifiedBy>
  <cp:revision>4</cp:revision>
  <cp:lastPrinted>2019-03-14T12:23:00Z</cp:lastPrinted>
  <dcterms:created xsi:type="dcterms:W3CDTF">2025-12-28T15:50:00Z</dcterms:created>
  <dcterms:modified xsi:type="dcterms:W3CDTF">2025-12-29T10:02:00Z</dcterms:modified>
</cp:coreProperties>
</file>